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bidi w:val="0"/>
        <w:ind w:left="-51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о проведении аукциона на право заключения договор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земельн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ого</w:t>
      </w:r>
      <w:r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Аукцион открытый по составу участников и по форме подачи предложений.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Организатор аукциона </w:t>
      </w:r>
      <w:r>
        <w:rPr>
          <w:rFonts w:ascii="Times New Roman" w:hAnsi="Times New Roman"/>
          <w:color w:val="000000"/>
          <w:sz w:val="26"/>
          <w:szCs w:val="26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Погарского района Брянской области.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pogarkumi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</w:rPr>
        <w:t>@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yandex</w:t>
      </w:r>
      <w:hyperlink r:id="rId2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3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Аукцион проводится по адресу</w:t>
      </w:r>
      <w:r>
        <w:rPr>
          <w:rFonts w:ascii="Times New Roman" w:hAnsi="Times New Roman"/>
          <w:spacing w:val="-6"/>
          <w:sz w:val="26"/>
          <w:szCs w:val="26"/>
        </w:rPr>
        <w:t xml:space="preserve">: Брянская область, Погарский район, пгт.Погар, ул.Ленина, д.1,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этаж, 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актовый зал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pacing w:val="-4"/>
          <w:sz w:val="26"/>
          <w:szCs w:val="26"/>
          <w:shd w:fill="auto" w:val="clear"/>
        </w:rPr>
        <w:t>Дата и время проведения аукциона</w:t>
      </w:r>
      <w:r>
        <w:rPr>
          <w:rFonts w:ascii="Times New Roman" w:hAnsi="Times New Roman"/>
          <w:spacing w:val="-4"/>
          <w:sz w:val="26"/>
          <w:szCs w:val="26"/>
          <w:shd w:fill="auto" w:val="clear"/>
        </w:rPr>
        <w:t>:</w:t>
      </w:r>
      <w:r>
        <w:rPr>
          <w:rFonts w:ascii="Times New Roman" w:hAnsi="Times New Roman"/>
          <w:b/>
          <w:bCs/>
          <w:color w:val="FF3300"/>
          <w:spacing w:val="-4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</w:rPr>
        <w:t>05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</w:rPr>
        <w:t>.0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</w:rPr>
        <w:t>4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</w:rPr>
        <w:t>.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 xml:space="preserve"> 202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года в 1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4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-00 часов.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Предмет аукциона</w:t>
      </w:r>
      <w:r>
        <w:rPr>
          <w:rFonts w:ascii="Times New Roman" w:hAnsi="Times New Roman"/>
          <w:spacing w:val="-8"/>
          <w:sz w:val="26"/>
          <w:szCs w:val="26"/>
        </w:rPr>
        <w:t xml:space="preserve"> – право на заключение договор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земельн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ого</w:t>
      </w:r>
      <w:r>
        <w:rPr>
          <w:rFonts w:ascii="Times New Roman" w:hAnsi="Times New Roman"/>
          <w:spacing w:val="-8"/>
          <w:sz w:val="26"/>
          <w:szCs w:val="26"/>
        </w:rPr>
        <w:t xml:space="preserve"> участк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Земельные участки из категории земель</w:t>
      </w:r>
      <w:r>
        <w:rPr>
          <w:rFonts w:ascii="Times New Roman" w:hAnsi="Times New Roman"/>
          <w:sz w:val="26"/>
          <w:szCs w:val="26"/>
        </w:rPr>
        <w:t xml:space="preserve"> – земли </w:t>
      </w:r>
      <w:r>
        <w:rPr>
          <w:rFonts w:ascii="Times New Roman" w:hAnsi="Times New Roman"/>
          <w:sz w:val="26"/>
          <w:szCs w:val="26"/>
          <w:lang w:val="ru-RU"/>
        </w:rPr>
        <w:t>сельскохозяйственного назначения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собственность на земельные участки не разграничена.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Лот №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(описание местоположение) земельного участка:</w:t>
      </w:r>
      <w:r>
        <w:rPr>
          <w:rFonts w:ascii="Times New Roman" w:hAnsi="Times New Roman"/>
          <w:sz w:val="26"/>
          <w:szCs w:val="26"/>
        </w:rPr>
        <w:t xml:space="preserve"> Брянская область, Погарский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муниципальный </w:t>
      </w:r>
      <w:r>
        <w:rPr>
          <w:rFonts w:ascii="Times New Roman" w:hAnsi="Times New Roman"/>
          <w:sz w:val="26"/>
          <w:szCs w:val="26"/>
          <w:lang w:val="ru-RU"/>
        </w:rPr>
        <w:t>район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Посудичское</w:t>
      </w:r>
      <w:r>
        <w:rPr>
          <w:rFonts w:ascii="Times New Roman" w:hAnsi="Times New Roman"/>
          <w:sz w:val="26"/>
          <w:szCs w:val="26"/>
          <w:lang w:val="ru-RU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Разрешенное использование: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сельскохозяйственное использование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о проведении аукциона:</w:t>
      </w:r>
      <w:r>
        <w:rPr>
          <w:rFonts w:ascii="Times New Roman" w:hAnsi="Times New Roman"/>
          <w:sz w:val="26"/>
          <w:szCs w:val="26"/>
        </w:rPr>
        <w:t xml:space="preserve"> постановление администрации Погарского района от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14.12</w:t>
      </w:r>
      <w:r>
        <w:rPr>
          <w:rFonts w:ascii="Times New Roman" w:hAnsi="Times New Roman"/>
          <w:color w:val="000000"/>
          <w:sz w:val="26"/>
          <w:szCs w:val="26"/>
        </w:rPr>
        <w:t>.20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906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«О проведении торгов в форме аукциона на право заключения договора купли-продажи земельного участка».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Площадь земельного участка: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152977</w:t>
      </w:r>
      <w:r>
        <w:rPr>
          <w:rFonts w:ascii="Times New Roman" w:hAnsi="Times New Roman"/>
          <w:sz w:val="26"/>
          <w:szCs w:val="26"/>
        </w:rPr>
        <w:t xml:space="preserve"> кв. м.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Кадастровый номер:</w:t>
      </w:r>
      <w:r>
        <w:rPr>
          <w:rFonts w:ascii="Times New Roman" w:hAnsi="Times New Roman"/>
          <w:sz w:val="26"/>
          <w:szCs w:val="26"/>
        </w:rPr>
        <w:t xml:space="preserve"> 32:19:</w:t>
      </w:r>
      <w:r>
        <w:rPr>
          <w:rFonts w:ascii="Times New Roman" w:hAnsi="Times New Roman"/>
          <w:sz w:val="26"/>
          <w:szCs w:val="26"/>
          <w:lang w:val="ru-RU"/>
        </w:rPr>
        <w:t>0140106</w:t>
      </w:r>
      <w:r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  <w:lang w:val="ru-RU"/>
        </w:rPr>
        <w:t>1</w:t>
      </w:r>
      <w:r>
        <w:rPr>
          <w:rFonts w:ascii="Times New Roman" w:hAnsi="Times New Roman"/>
          <w:sz w:val="26"/>
          <w:szCs w:val="26"/>
          <w:lang w:val="ru-RU"/>
        </w:rPr>
        <w:t>19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Начальный размер </w:t>
      </w:r>
      <w:r>
        <w:rPr>
          <w:rFonts w:ascii="Times New Roman" w:hAnsi="Times New Roman"/>
          <w:b/>
          <w:sz w:val="26"/>
          <w:szCs w:val="26"/>
          <w:lang w:val="ru-RU"/>
        </w:rPr>
        <w:t>рыночной стоимости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  <w:lang w:val="ru-RU"/>
        </w:rPr>
        <w:t>336550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рублей.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Шаг аукциона </w:t>
      </w:r>
      <w:r>
        <w:rPr>
          <w:rFonts w:ascii="Times New Roman" w:hAnsi="Times New Roman"/>
          <w:b/>
          <w:sz w:val="26"/>
          <w:szCs w:val="26"/>
        </w:rPr>
        <w:t>3%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10096,</w:t>
      </w:r>
      <w:r>
        <w:rPr>
          <w:rFonts w:ascii="Times New Roman" w:hAnsi="Times New Roman"/>
          <w:sz w:val="26"/>
          <w:szCs w:val="26"/>
          <w:lang w:val="ru-RU"/>
        </w:rPr>
        <w:t>50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Задаток </w:t>
      </w:r>
      <w:r>
        <w:rPr>
          <w:rFonts w:ascii="Times New Roman" w:hAnsi="Times New Roman"/>
          <w:b/>
          <w:sz w:val="26"/>
          <w:szCs w:val="26"/>
        </w:rPr>
        <w:t>50%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168275</w:t>
      </w:r>
      <w:r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Границы земельного участка определены в соответствии с Выписк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ой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из единого государственного реестра недвижимости о характеристиках и зарегистрированных правах на объект недвижимости.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Обременения и ограничения использования земельн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ого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-нет.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При использовании земельного участка, необходимо соблюдать следующие условия: обеспечивать беспрепятственный доступ на земельный участок для инспекционных проверок,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выполнять требования эксплуатационных служб по эксплуатации подземных и наземных коммуникаций,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Документы, представляемые заявителем для участия в аукционе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заявка на участие в аукционе по установленной </w:t>
      </w:r>
      <w:r>
        <w:rPr>
          <w:rFonts w:cs="Times New Roman" w:ascii="Times New Roman" w:hAnsi="Times New Roman"/>
          <w:bCs/>
          <w:sz w:val="26"/>
          <w:szCs w:val="26"/>
        </w:rPr>
        <w:t>в извещении о проведении аукциона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форме с указанием банковских реквизитов счета для возврата задатка;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копии документов, удостоверяющих личность </w:t>
      </w:r>
      <w:r>
        <w:rPr>
          <w:rFonts w:cs="Times New Roman" w:ascii="Times New Roman" w:hAnsi="Times New Roman"/>
          <w:bCs/>
          <w:sz w:val="26"/>
          <w:szCs w:val="26"/>
        </w:rPr>
        <w:t>(всех листов)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заявителя (для граждан);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bCs/>
          <w:sz w:val="26"/>
          <w:szCs w:val="26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подтверждающие внесение задатка.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  <w:shd w:fill="auto" w:val="clear"/>
        </w:rPr>
      </w:pPr>
      <w:r>
        <w:rPr>
          <w:sz w:val="26"/>
          <w:szCs w:val="26"/>
          <w:shd w:fill="auto" w:val="clear"/>
        </w:rPr>
        <w:t>Заявка составляется в 2 экземплярах, один из которых остается у организатора торгов, другой – у претендента.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Один заявитель имеет право подать только одну заявку.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>Порядок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подачи и приема заявок: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>
        <w:rPr>
          <w:rFonts w:cs="Times New Roman" w:ascii="Times New Roman" w:hAnsi="Times New Roman"/>
          <w:sz w:val="26"/>
          <w:szCs w:val="26"/>
        </w:rPr>
        <w:t xml:space="preserve"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 </w:t>
      </w:r>
      <w:r>
        <w:rPr>
          <w:rFonts w:cs="Times New Roman" w:ascii="Times New Roman" w:hAnsi="Times New Roman"/>
          <w:sz w:val="26"/>
          <w:szCs w:val="26"/>
        </w:rPr>
        <w:t>претенденту или его уполномоченному представителю под расписку.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</w:t>
      </w:r>
      <w:r>
        <w:rPr>
          <w:rFonts w:cs="Times New Roman" w:ascii="Times New Roman" w:hAnsi="Times New Roman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sz w:val="26"/>
          <w:szCs w:val="26"/>
        </w:rPr>
        <w:t>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  <w:shd w:fill="auto" w:val="clear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Прием заявок начинается —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с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02.03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.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202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г.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в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09-00 час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shd w:fill="auto" w:val="clear"/>
          <w:lang w:val="ru-RU"/>
        </w:rPr>
        <w:t xml:space="preserve">. </w:t>
      </w:r>
      <w:r>
        <w:rPr>
          <w:rFonts w:ascii="Times New Roman" w:hAnsi="Times New Roman"/>
          <w:spacing w:val="-2"/>
          <w:sz w:val="26"/>
          <w:szCs w:val="26"/>
          <w:shd w:fill="auto" w:val="clear"/>
        </w:rPr>
        <w:t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z w:val="26"/>
          <w:szCs w:val="26"/>
          <w:shd w:fill="auto" w:val="clear"/>
        </w:rPr>
        <w:t>Прием заявок прекращается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01.04</w:t>
      </w:r>
      <w:r>
        <w:rPr>
          <w:rFonts w:ascii="Times New Roman" w:hAnsi="Times New Roman"/>
          <w:sz w:val="26"/>
          <w:szCs w:val="26"/>
          <w:shd w:fill="auto" w:val="clear"/>
        </w:rPr>
        <w:t>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202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в 17-00 час.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pacing w:val="-10"/>
          <w:sz w:val="26"/>
          <w:szCs w:val="26"/>
          <w:shd w:fill="auto" w:val="clear"/>
        </w:rPr>
        <w:t>День определения участников аукциона</w:t>
      </w:r>
      <w:r>
        <w:rPr>
          <w:rFonts w:ascii="Times New Roman" w:hAnsi="Times New Roman"/>
          <w:spacing w:val="-1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</w:rPr>
        <w:t>04.04.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202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2г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.</w:t>
      </w:r>
    </w:p>
    <w:p>
      <w:pPr>
        <w:pStyle w:val="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  <w:lang w:val="ru-RU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>
        <w:rPr>
          <w:rFonts w:ascii="Times New Roman" w:hAnsi="Times New Roman"/>
          <w:spacing w:val="-10"/>
          <w:sz w:val="26"/>
          <w:szCs w:val="26"/>
          <w:lang w:val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ConsPlusNormal"/>
        <w:widowControl w:val="false"/>
        <w:bidi w:val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007"/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Для участия в аукционе претендентами вносится задаток</w:t>
      </w:r>
      <w:r>
        <w:rPr>
          <w:rFonts w:ascii="Times New Roman" w:hAnsi="Times New Roman"/>
          <w:b w:val="false"/>
          <w:bCs w:val="false"/>
          <w:sz w:val="26"/>
          <w:szCs w:val="26"/>
        </w:rPr>
        <w:t>.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 xml:space="preserve">Срок поступления задатка на расчетный счет организатора торгов —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01.04.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202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color w:val="800000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>единовременно, по следующим реквизитам: получатель задатка –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л/с 04273010190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),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р/с 03100643000000012700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, 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БК 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000000000000000130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к/с 40102810245370000019,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ИНН 3223005343,  КПП 322301001, БИК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011501101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, ОКТМО 15642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151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8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Назначение платежа: задаток за участие в аукционе (с указанием адреса земельного участка). 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Задатки должны поступить на счет организатора аукциона на дату определения участников аукциона.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поступления уведомления об отзыве заявки (в случае отзыва заявки до окончания срока приема заявок);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рассмотрения заявок заявителям не признанными участниками аукциона;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Порядок проведения аукциона: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аукцион ведет аукционист;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наибольший размер  платы за земельный участок. Результаты аукциона оформляются протоколом, который подписывается в день проведения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объявляет о принятом решении в месте и в день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не допускается к участию в аукционе в следующих случаях: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непоступление задатка на дату рассмотрения заявок на участие в аукционе;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цены земельных участков, определенной на аукционах, осуществляется по следующим реквизитам: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 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л/с 04273010190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),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р/с 03100643000000012700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, К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БК 00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000000000000000130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к/с 40102810245370000019,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 xml:space="preserve"> ИНН 3223005343,  КПП 322301001, БИК 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011501101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, ОКТМО 15642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151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 w:eastAsia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Осмотр земельных участков на местности проводится претендентами самостоятельно.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>
        <w:rPr>
          <w:rFonts w:ascii="Times New Roman" w:hAnsi="Times New Roman"/>
          <w:spacing w:val="-2"/>
          <w:sz w:val="26"/>
          <w:szCs w:val="26"/>
        </w:rPr>
        <w:t xml:space="preserve"> Брянская область, Погарский район, пгт.Погар, ул.Ленина, д.1, к.103, тел. 8(48349)2-22-84.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касающиеся проведения аукционов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</w:rPr>
        <w:t xml:space="preserve"> заключение договоров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Проект договор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, форма заявки размещены на </w:t>
      </w:r>
      <w:r>
        <w:rPr>
          <w:rFonts w:ascii="Times New Roman" w:hAnsi="Times New Roman"/>
          <w:color w:val="000000"/>
          <w:sz w:val="26"/>
          <w:szCs w:val="26"/>
        </w:rPr>
        <w:t xml:space="preserve"> официальном сайте торгов РФ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hyperlink r:id="rId4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</w:hyperlink>
      <w:hyperlink r:id="rId5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6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</w:hyperlink>
      <w:hyperlink r:id="rId7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8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gov</w:t>
        </w:r>
      </w:hyperlink>
      <w:hyperlink r:id="rId9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10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,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на официальном сайте администрации Погарского района и 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периодическом печатном издании «Сборник нормативных правовых актов Погарского района»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 Комитета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 имуществу района                                                                        Г.В. Ерошенкова</w:t>
      </w:r>
    </w:p>
    <w:p>
      <w:pPr>
        <w:pStyle w:val="Normal"/>
        <w:shd w:fill="FFFFFF" w:val="clear"/>
        <w:tabs>
          <w:tab w:val="clear" w:pos="709"/>
          <w:tab w:val="left" w:pos="10556" w:leader="none"/>
        </w:tabs>
        <w:bidi w:val="0"/>
        <w:ind w:left="35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fill="FFFFFF" w:val="clear"/>
        <w:tabs>
          <w:tab w:val="clear" w:pos="709"/>
          <w:tab w:val="left" w:pos="10556" w:leader="none"/>
        </w:tabs>
        <w:bidi w:val="0"/>
        <w:ind w:left="35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fill="FFFFFF" w:val="clear"/>
        <w:tabs>
          <w:tab w:val="clear" w:pos="709"/>
          <w:tab w:val="left" w:pos="2270" w:leader="none"/>
          <w:tab w:val="left" w:pos="5194" w:leader="none"/>
          <w:tab w:val="left" w:pos="7200" w:leader="none"/>
        </w:tabs>
        <w:bidi w:val="0"/>
        <w:ind w:left="0" w:right="6" w:hanging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                    </w:t>
      </w:r>
    </w:p>
    <w:p>
      <w:pPr>
        <w:pStyle w:val="Normal"/>
        <w:shd w:fill="FFFFFF" w:val="clear"/>
        <w:tabs>
          <w:tab w:val="clear" w:pos="709"/>
          <w:tab w:val="left" w:pos="10206" w:leader="none"/>
        </w:tabs>
        <w:bidi w:val="0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5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0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1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285</TotalTime>
  <Application>LibreOffice/7.1.5.2$Windows_X86_64 LibreOffice_project/85f04e9f809797b8199d13c421bd8a2b025d52b5</Application>
  <AppVersion>15.0000</AppVersion>
  <Pages>5</Pages>
  <Words>1765</Words>
  <Characters>12358</Characters>
  <CharactersWithSpaces>14528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2022-02-28T11:49:34Z</dcterms:modified>
  <cp:revision>16</cp:revision>
  <dc:subject/>
  <dc:title/>
</cp:coreProperties>
</file>