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F" w:rsidRDefault="004C6075">
      <w:pPr>
        <w:spacing w:line="312" w:lineRule="auto"/>
        <w:jc w:val="center"/>
        <w:outlineLvl w:val="1"/>
      </w:pPr>
      <w:r>
        <w:rPr>
          <w:rFonts w:eastAsia="Times New Roman" w:cs="Times New Roman"/>
          <w:color w:val="3F3F3F"/>
          <w:lang w:eastAsia="ru-RU"/>
        </w:rPr>
        <w:t xml:space="preserve">Протокол рассмотрения заявок на участие в конкурсе на право размещения нестационарного торгового объекта на территории Погарского городского поселения по адресу: </w:t>
      </w:r>
      <w:proofErr w:type="spellStart"/>
      <w:r>
        <w:rPr>
          <w:rFonts w:eastAsia="Times New Roman" w:cs="Times New Roman"/>
          <w:bCs/>
          <w:lang w:eastAsia="ru-RU"/>
        </w:rPr>
        <w:t>пгт</w:t>
      </w:r>
      <w:proofErr w:type="spellEnd"/>
      <w:r>
        <w:rPr>
          <w:rFonts w:eastAsia="Times New Roman" w:cs="Times New Roman"/>
          <w:bCs/>
          <w:lang w:eastAsia="ru-RU"/>
        </w:rPr>
        <w:t xml:space="preserve"> Погар, на </w:t>
      </w:r>
      <w:r>
        <w:rPr>
          <w:rFonts w:eastAsia="Times New Roman" w:cs="Times New Roman"/>
          <w:bCs/>
          <w:color w:val="3F3F3F"/>
          <w:lang w:eastAsia="ru-RU"/>
        </w:rPr>
        <w:t>пересечении</w:t>
      </w:r>
      <w:r>
        <w:rPr>
          <w:rFonts w:eastAsia="Times New Roman" w:cs="Times New Roman"/>
          <w:bCs/>
          <w:color w:val="3F3F3F"/>
          <w:lang w:eastAsia="ru-RU"/>
        </w:rPr>
        <w:t xml:space="preserve"> улицы Полевой и улицы Ананченко у входа  на центральное  кладбище.</w:t>
      </w:r>
    </w:p>
    <w:p w:rsidR="0082178F" w:rsidRDefault="0082178F">
      <w:pPr>
        <w:spacing w:line="312" w:lineRule="auto"/>
        <w:jc w:val="center"/>
        <w:outlineLvl w:val="1"/>
        <w:rPr>
          <w:rFonts w:eastAsia="Times New Roman" w:cs="Times New Roman"/>
          <w:color w:val="3F3F3F"/>
          <w:lang w:eastAsia="ru-RU"/>
        </w:rPr>
      </w:pPr>
    </w:p>
    <w:p w:rsidR="0082178F" w:rsidRDefault="004C6075">
      <w:pPr>
        <w:spacing w:line="312" w:lineRule="auto"/>
        <w:jc w:val="center"/>
        <w:outlineLvl w:val="1"/>
      </w:pPr>
      <w:r>
        <w:rPr>
          <w:rFonts w:eastAsia="Times New Roman" w:cs="Times New Roman"/>
          <w:color w:val="3F3F3F"/>
          <w:lang w:eastAsia="ru-RU"/>
        </w:rPr>
        <w:t>№</w:t>
      </w:r>
      <w:r>
        <w:rPr>
          <w:rFonts w:eastAsia="Times New Roman" w:cs="Times New Roman"/>
          <w:color w:val="3F3F3F"/>
          <w:lang w:eastAsia="ru-RU"/>
        </w:rPr>
        <w:t>1/2023                                                                                           27.09.2023г</w:t>
      </w:r>
    </w:p>
    <w:p w:rsidR="0082178F" w:rsidRDefault="004C6075">
      <w:pPr>
        <w:spacing w:line="312" w:lineRule="auto"/>
        <w:outlineLvl w:val="1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пгт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Погар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Присутствовали: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Астапкович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Сергей Петрович – первый заместитель главы администрации Погарского района – председатель комиссии;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Печенко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Р.</w:t>
      </w:r>
      <w:r>
        <w:rPr>
          <w:rFonts w:eastAsia="Times New Roman" w:cs="Times New Roman"/>
          <w:color w:val="3F3F3F"/>
          <w:lang w:eastAsia="ru-RU"/>
        </w:rPr>
        <w:t>Н. – заместитель главы администрации Погарского района – заместитель председателя комиссии;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Лысак Т.Ю. – главный инспектор отдела экономического развития, секретарь комиссии.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Члены комиссии: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Кличко А.Ю. - начальник отдела экономического развития администра</w:t>
      </w:r>
      <w:r>
        <w:rPr>
          <w:rFonts w:eastAsia="Times New Roman" w:cs="Times New Roman"/>
          <w:color w:val="3F3F3F"/>
          <w:lang w:eastAsia="ru-RU"/>
        </w:rPr>
        <w:t>ции Погарского района;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Грибков Н.В. – начальник ГКУ Брянской области «Погарское районное управление сельского хозяйства»;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Соболь О.И.- начальник отдела правовой, кадровой и мобилизационной работы администрации Погарского района;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На заседании присутствовали 6 (шесть</w:t>
      </w:r>
      <w:r>
        <w:rPr>
          <w:rFonts w:eastAsia="Times New Roman" w:cs="Times New Roman"/>
          <w:color w:val="3F3F3F"/>
          <w:lang w:eastAsia="ru-RU"/>
        </w:rPr>
        <w:t>) членов комиссии, что составляет 75</w:t>
      </w:r>
      <w:r>
        <w:rPr>
          <w:rFonts w:eastAsia="Times New Roman" w:cs="Times New Roman"/>
          <w:color w:val="3F3F3F"/>
          <w:lang w:eastAsia="ru-RU"/>
        </w:rPr>
        <w:t xml:space="preserve">% от общего количества членов комиссии. Комиссия правомочна принимать решение. 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Предмет открытого к</w:t>
      </w:r>
      <w:r>
        <w:rPr>
          <w:rFonts w:eastAsia="Times New Roman" w:cs="Times New Roman"/>
          <w:color w:val="3F3F3F"/>
          <w:lang w:eastAsia="ru-RU"/>
        </w:rPr>
        <w:t>онкурса: право на заключение договора на размещение нестационарного торгового объекта на территории Погарского городского поселения.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Процедура рассмотрения заявок на участие в конкурсе на право размещения нестационарного торгового объекта на территории Пог</w:t>
      </w:r>
      <w:r>
        <w:rPr>
          <w:rFonts w:eastAsia="Times New Roman" w:cs="Times New Roman"/>
          <w:color w:val="3F3F3F"/>
          <w:lang w:eastAsia="ru-RU"/>
        </w:rPr>
        <w:t xml:space="preserve">арского городского поселения проведена 27.09.2023 в 11.00 по адресу: администрация Погарского района, Брянская область, </w:t>
      </w:r>
      <w:proofErr w:type="spellStart"/>
      <w:r>
        <w:rPr>
          <w:rFonts w:eastAsia="Times New Roman" w:cs="Times New Roman"/>
          <w:color w:val="3F3F3F"/>
          <w:lang w:eastAsia="ru-RU"/>
        </w:rPr>
        <w:t>пгт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Погар, ул. Ленина, 1, </w:t>
      </w:r>
      <w:proofErr w:type="spellStart"/>
      <w:r>
        <w:rPr>
          <w:rFonts w:eastAsia="Times New Roman" w:cs="Times New Roman"/>
          <w:color w:val="3F3F3F"/>
          <w:lang w:eastAsia="ru-RU"/>
        </w:rPr>
        <w:t>каб</w:t>
      </w:r>
      <w:proofErr w:type="spellEnd"/>
      <w:r>
        <w:rPr>
          <w:rFonts w:eastAsia="Times New Roman" w:cs="Times New Roman"/>
          <w:color w:val="3F3F3F"/>
          <w:lang w:eastAsia="ru-RU"/>
        </w:rPr>
        <w:t>. 211.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Повестка дня: 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lastRenderedPageBreak/>
        <w:t>Рассмотрение заявок на участие в конкурсе на право размещения нестационарного торгово</w:t>
      </w:r>
      <w:r>
        <w:rPr>
          <w:rFonts w:eastAsia="Times New Roman" w:cs="Times New Roman"/>
          <w:color w:val="3F3F3F"/>
          <w:lang w:eastAsia="ru-RU"/>
        </w:rPr>
        <w:t xml:space="preserve">го объекта на территории Погарского городского поселения по адресу: </w:t>
      </w:r>
      <w:proofErr w:type="spellStart"/>
      <w:r>
        <w:rPr>
          <w:rFonts w:eastAsia="Times New Roman" w:cs="Times New Roman"/>
          <w:bCs/>
          <w:lang w:eastAsia="ru-RU"/>
        </w:rPr>
        <w:t>пгт</w:t>
      </w:r>
      <w:proofErr w:type="spellEnd"/>
      <w:r>
        <w:rPr>
          <w:rFonts w:eastAsia="Times New Roman" w:cs="Times New Roman"/>
          <w:bCs/>
          <w:lang w:eastAsia="ru-RU"/>
        </w:rPr>
        <w:t xml:space="preserve"> Погар, </w:t>
      </w:r>
      <w:bookmarkStart w:id="0" w:name="__DdeLink__236_855372451"/>
      <w:r>
        <w:rPr>
          <w:rFonts w:eastAsia="Times New Roman" w:cs="Times New Roman"/>
          <w:bCs/>
          <w:color w:val="3F3F3F"/>
          <w:lang w:eastAsia="ru-RU"/>
        </w:rPr>
        <w:t>на пересечении</w:t>
      </w:r>
      <w:r>
        <w:rPr>
          <w:rFonts w:eastAsia="Times New Roman" w:cs="Times New Roman"/>
          <w:bCs/>
          <w:color w:val="3F3F3F"/>
          <w:lang w:eastAsia="ru-RU"/>
        </w:rPr>
        <w:t xml:space="preserve"> улицы Полевой и улицы Ананченко у входа  на центральное  кладбище</w:t>
      </w:r>
      <w:bookmarkEnd w:id="0"/>
      <w:r>
        <w:rPr>
          <w:rFonts w:eastAsia="Times New Roman" w:cs="Times New Roman"/>
          <w:bCs/>
          <w:color w:val="3F3F3F"/>
          <w:lang w:eastAsia="ru-RU"/>
        </w:rPr>
        <w:t>.</w:t>
      </w:r>
    </w:p>
    <w:p w:rsidR="0082178F" w:rsidRDefault="0082178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1507"/>
        <w:gridCol w:w="1580"/>
        <w:gridCol w:w="1507"/>
        <w:gridCol w:w="1507"/>
        <w:gridCol w:w="1507"/>
        <w:gridCol w:w="1507"/>
      </w:tblGrid>
      <w:tr w:rsidR="008217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Площадь места</w:t>
            </w:r>
            <w:proofErr w:type="gramStart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редоставленного под размещение нестац</w:t>
            </w: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ионарного торгового объекта, кв. м.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Адрес размещения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Цена договора на право размещения нестационарного торгового объекта, руб. в год</w:t>
            </w:r>
          </w:p>
        </w:tc>
      </w:tr>
      <w:tr w:rsidR="008217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4C6075">
            <w:pPr>
              <w:spacing w:line="312" w:lineRule="auto"/>
              <w:jc w:val="center"/>
              <w:outlineLvl w:val="1"/>
            </w:pPr>
            <w:proofErr w:type="spellStart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 Погар,  на </w:t>
            </w:r>
            <w:r>
              <w:rPr>
                <w:rFonts w:eastAsia="Times New Roman" w:cs="Times New Roman"/>
                <w:bCs/>
                <w:color w:val="3F3F3F"/>
                <w:sz w:val="24"/>
                <w:szCs w:val="24"/>
                <w:lang w:eastAsia="ru-RU"/>
              </w:rPr>
              <w:t>пересечении</w:t>
            </w:r>
            <w:r>
              <w:rPr>
                <w:rFonts w:eastAsia="Times New Roman" w:cs="Times New Roman"/>
                <w:bCs/>
                <w:color w:val="3F3F3F"/>
                <w:sz w:val="24"/>
                <w:szCs w:val="24"/>
                <w:lang w:eastAsia="ru-RU"/>
              </w:rPr>
              <w:t xml:space="preserve"> улицы Полевой и улицы Ананченко у входа  на центральное  кладбище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В течение 5 (пяти) лет со дня выдачи паспорта </w:t>
            </w: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временного объекта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8F" w:rsidRDefault="004C6075">
            <w:pPr>
              <w:spacing w:before="240" w:line="270" w:lineRule="atLeast"/>
              <w:jc w:val="center"/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58 608 рубля </w:t>
            </w:r>
          </w:p>
        </w:tc>
      </w:tr>
    </w:tbl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 xml:space="preserve">По окончании срока подачи заявок до 26.09.2023 года была подана единственная заявка от участника конкурса на право размещения нестационарного торгового объекта на территории Погарского городского поселения от  </w:t>
      </w:r>
      <w:r>
        <w:rPr>
          <w:rFonts w:eastAsia="Times New Roman" w:cs="Times New Roman"/>
          <w:color w:val="3F3F3F"/>
          <w:lang w:eastAsia="ru-RU"/>
        </w:rPr>
        <w:t xml:space="preserve">индивидуального предпринимателя </w:t>
      </w:r>
      <w:proofErr w:type="spellStart"/>
      <w:r>
        <w:rPr>
          <w:rFonts w:eastAsia="Times New Roman" w:cs="Times New Roman"/>
          <w:color w:val="3F3F3F"/>
          <w:lang w:eastAsia="ru-RU"/>
        </w:rPr>
        <w:t>Верховининой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Надежды Александровны.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Документы, определенные конкурсной документацией в составе заявки по обязательным требованиям представлены в полном объеме.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По результатам рассмотрения единственной заявки согласно п. 2.21</w:t>
      </w:r>
      <w:r>
        <w:rPr>
          <w:rFonts w:eastAsia="Times New Roman" w:cs="Times New Roman"/>
          <w:color w:val="3F3F3F"/>
          <w:lang w:eastAsia="ru-RU"/>
        </w:rPr>
        <w:t xml:space="preserve"> положения о порядке размещения нестационарных торговых объектов на территории Погарского городского поселения признать конкурс несостоявшимся.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lastRenderedPageBreak/>
        <w:t>На основании п. 3.1. и п. 3.9. положения о порядке размещения нестационарных торговых объектов на территории Пог</w:t>
      </w:r>
      <w:r>
        <w:rPr>
          <w:rFonts w:eastAsia="Times New Roman" w:cs="Times New Roman"/>
          <w:color w:val="3F3F3F"/>
          <w:lang w:eastAsia="ru-RU"/>
        </w:rPr>
        <w:t>арского городского поселения комиссия решила: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1. Признать победителем открытого конкурса</w:t>
      </w:r>
      <w:r>
        <w:t xml:space="preserve"> </w:t>
      </w:r>
      <w:r>
        <w:rPr>
          <w:rFonts w:eastAsia="Times New Roman" w:cs="Times New Roman"/>
          <w:color w:val="3F3F3F"/>
          <w:lang w:eastAsia="ru-RU"/>
        </w:rPr>
        <w:t xml:space="preserve">на право размещения нестационарного торгового объекта на территории Погарского городского поселения по адресу: </w:t>
      </w:r>
      <w:proofErr w:type="spellStart"/>
      <w:r>
        <w:rPr>
          <w:rFonts w:eastAsia="Times New Roman" w:cs="Times New Roman"/>
          <w:color w:val="3F3F3F"/>
          <w:lang w:eastAsia="ru-RU"/>
        </w:rPr>
        <w:t>пгт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Погар, на пересечении</w:t>
      </w:r>
      <w:r>
        <w:rPr>
          <w:rFonts w:eastAsia="Times New Roman" w:cs="Times New Roman"/>
          <w:color w:val="3F3F3F"/>
          <w:lang w:eastAsia="ru-RU"/>
        </w:rPr>
        <w:t xml:space="preserve"> улицы Полевой и улицы Ананченко у</w:t>
      </w:r>
      <w:r>
        <w:rPr>
          <w:rFonts w:eastAsia="Times New Roman" w:cs="Times New Roman"/>
          <w:color w:val="3F3F3F"/>
          <w:lang w:eastAsia="ru-RU"/>
        </w:rPr>
        <w:t xml:space="preserve"> входа на центральное кладбище индивидуального предпринимателя </w:t>
      </w:r>
      <w:proofErr w:type="spellStart"/>
      <w:r>
        <w:rPr>
          <w:rFonts w:eastAsia="Times New Roman" w:cs="Times New Roman"/>
          <w:color w:val="3F3F3F"/>
          <w:lang w:eastAsia="ru-RU"/>
        </w:rPr>
        <w:t>Верховинину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Надежду Александровну. 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 xml:space="preserve">2. Отделу архитектуры, ЖКХ, градостроительства и инфраструктуры администрации Погарского района в течение 15 рабочих дней на основании письменного заявления </w:t>
      </w:r>
      <w:r>
        <w:rPr>
          <w:rFonts w:eastAsia="Times New Roman" w:cs="Times New Roman"/>
          <w:color w:val="3F3F3F"/>
          <w:lang w:eastAsia="ru-RU"/>
        </w:rPr>
        <w:t xml:space="preserve">индивидуального предпринимателя </w:t>
      </w:r>
      <w:proofErr w:type="spellStart"/>
      <w:r>
        <w:rPr>
          <w:rFonts w:eastAsia="Times New Roman" w:cs="Times New Roman"/>
          <w:color w:val="3F3F3F"/>
          <w:lang w:eastAsia="ru-RU"/>
        </w:rPr>
        <w:t>Верховининой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 Надежды Александровны оформить и выдать паспорт временного объекта;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3. Администрации Погарского района заключить договор на размещение нестационарного торгового объекта со дня выдачи паспорта временного объекта</w:t>
      </w:r>
      <w:r>
        <w:rPr>
          <w:rFonts w:eastAsia="Times New Roman" w:cs="Times New Roman"/>
          <w:color w:val="3F3F3F"/>
          <w:lang w:eastAsia="ru-RU"/>
        </w:rPr>
        <w:t xml:space="preserve">. 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4. Настоящий протокол рассмотрения заявки конкурса на право размещения нестационарного торгового объекта на территории Погарского городского поселения разместить на официальном сайте администрации Погарского района http://www.pogaradm.ru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b/>
          <w:bCs/>
          <w:color w:val="3F3F3F"/>
          <w:lang w:eastAsia="ru-RU"/>
        </w:rPr>
        <w:t xml:space="preserve">Члены конкурсной комиссии, присутствующие на заседании: </w:t>
      </w:r>
      <w:r>
        <w:rPr>
          <w:rFonts w:eastAsia="Times New Roman" w:cs="Times New Roman"/>
          <w:color w:val="3F3F3F"/>
          <w:lang w:eastAsia="ru-RU"/>
        </w:rPr>
        <w:t> 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Председатель комиссии ____________________ </w:t>
      </w:r>
      <w:proofErr w:type="spellStart"/>
      <w:r>
        <w:rPr>
          <w:rFonts w:eastAsia="Times New Roman" w:cs="Times New Roman"/>
          <w:color w:val="3F3F3F"/>
          <w:lang w:eastAsia="ru-RU"/>
        </w:rPr>
        <w:t>Астапкович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Сергей Петрович 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Заместитель председателя ____________________ </w:t>
      </w:r>
      <w:proofErr w:type="spellStart"/>
      <w:r>
        <w:rPr>
          <w:rFonts w:eastAsia="Times New Roman" w:cs="Times New Roman"/>
          <w:color w:val="3F3F3F"/>
          <w:lang w:eastAsia="ru-RU"/>
        </w:rPr>
        <w:t>Печенко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Раиса Николаевна комиссии 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Секретарь комиссии __________________ Лысак Та</w:t>
      </w:r>
      <w:r>
        <w:rPr>
          <w:rFonts w:eastAsia="Times New Roman" w:cs="Times New Roman"/>
          <w:color w:val="3F3F3F"/>
          <w:lang w:eastAsia="ru-RU"/>
        </w:rPr>
        <w:t>тьяна Юрьевна</w:t>
      </w:r>
    </w:p>
    <w:p w:rsidR="0082178F" w:rsidRDefault="004C6075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Член комиссии _______________________Кличко Анастасия Юрьевна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Член комиссии _______________________ Грибков Николай Васильевич</w:t>
      </w:r>
    </w:p>
    <w:p w:rsidR="0082178F" w:rsidRDefault="004C6075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Член комиссии _______________________ Соболь Олеся Игоревна</w:t>
      </w:r>
    </w:p>
    <w:p w:rsidR="0082178F" w:rsidRDefault="0082178F">
      <w:pPr>
        <w:spacing w:before="240" w:line="270" w:lineRule="atLeast"/>
        <w:jc w:val="both"/>
      </w:pPr>
      <w:bookmarkStart w:id="1" w:name="_GoBack"/>
      <w:bookmarkEnd w:id="1"/>
    </w:p>
    <w:sectPr w:rsidR="0082178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F"/>
    <w:rsid w:val="004C6075"/>
    <w:rsid w:val="008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link w:val="20"/>
    <w:uiPriority w:val="9"/>
    <w:qFormat/>
    <w:rsid w:val="002B3B74"/>
    <w:pPr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2B3B7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link w:val="20"/>
    <w:uiPriority w:val="9"/>
    <w:qFormat/>
    <w:rsid w:val="002B3B74"/>
    <w:pPr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2B3B7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1A98-A8E1-481F-9C5E-85CAC5B6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3979</Characters>
  <Application>Microsoft Office Word</Application>
  <DocSecurity>0</DocSecurity>
  <Lines>33</Lines>
  <Paragraphs>9</Paragraphs>
  <ScaleCrop>false</ScaleCrop>
  <Company>Администрация Погарского района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Бурда Светлана Михайловна</cp:lastModifiedBy>
  <cp:revision>5</cp:revision>
  <cp:lastPrinted>2022-08-05T08:59:00Z</cp:lastPrinted>
  <dcterms:created xsi:type="dcterms:W3CDTF">2023-09-26T06:24:00Z</dcterms:created>
  <dcterms:modified xsi:type="dcterms:W3CDTF">2023-09-27T09:24:00Z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