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6633DD" w:rsidRDefault="00506313" w:rsidP="004C6489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06313" w:rsidRPr="006633DD" w:rsidRDefault="00506313" w:rsidP="004C6489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633DD">
        <w:rPr>
          <w:rFonts w:eastAsia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4C6489" w:rsidRPr="006633DD" w:rsidRDefault="004C6489" w:rsidP="004C6489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об оценке регулирующего воздействия</w:t>
      </w:r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на проект постановления администрации </w:t>
      </w:r>
      <w:proofErr w:type="spellStart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>Погарского</w:t>
      </w:r>
      <w:proofErr w:type="spellEnd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района «Об утверждении положений  «О порядке размещения нестационарных торговых объектов на территории </w:t>
      </w:r>
      <w:proofErr w:type="spellStart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>Погарского</w:t>
      </w:r>
      <w:proofErr w:type="spellEnd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городского поселения», «О комиссии по проведению конкурса на право размещения нестационарных торговых объектов на территории </w:t>
      </w:r>
      <w:proofErr w:type="spellStart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>Погарского</w:t>
      </w:r>
      <w:proofErr w:type="spellEnd"/>
      <w:r w:rsidR="00506313" w:rsidRPr="006633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городского поселения»</w:t>
      </w:r>
    </w:p>
    <w:p w:rsidR="004C6489" w:rsidRPr="006633DD" w:rsidRDefault="004C6489" w:rsidP="006E76C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4C6489" w:rsidRPr="006633DD" w:rsidRDefault="004C6489" w:rsidP="006E76CF">
      <w:pPr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633DD">
        <w:rPr>
          <w:rFonts w:eastAsia="Times New Roman" w:cs="Times New Roman"/>
          <w:sz w:val="26"/>
          <w:szCs w:val="26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</w:t>
      </w:r>
      <w:proofErr w:type="spellStart"/>
      <w:r w:rsidRPr="006633DD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6633DD">
        <w:rPr>
          <w:rFonts w:eastAsia="Times New Roman" w:cs="Times New Roman"/>
          <w:sz w:val="26"/>
          <w:szCs w:val="26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6633DD">
        <w:rPr>
          <w:rFonts w:eastAsia="Times New Roman" w:cs="Times New Roman"/>
          <w:sz w:val="26"/>
          <w:szCs w:val="26"/>
          <w:lang w:eastAsia="ru-RU"/>
        </w:rPr>
        <w:t>Погарском</w:t>
      </w:r>
      <w:proofErr w:type="spellEnd"/>
      <w:r w:rsidRPr="006633DD">
        <w:rPr>
          <w:rFonts w:eastAsia="Times New Roman" w:cs="Times New Roman"/>
          <w:sz w:val="26"/>
          <w:szCs w:val="26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</w:t>
      </w:r>
      <w:proofErr w:type="spellStart"/>
      <w:r w:rsidRPr="006633DD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6633DD">
        <w:rPr>
          <w:rFonts w:eastAsia="Times New Roman" w:cs="Times New Roman"/>
          <w:sz w:val="26"/>
          <w:szCs w:val="26"/>
          <w:lang w:eastAsia="ru-RU"/>
        </w:rPr>
        <w:t xml:space="preserve"> района от</w:t>
      </w:r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 24.12.2015 года №770-а </w:t>
      </w:r>
      <w:r w:rsidRPr="006633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D5542" w:rsidRPr="006633DD">
        <w:rPr>
          <w:rFonts w:eastAsia="Times New Roman" w:cs="Times New Roman"/>
          <w:sz w:val="26"/>
          <w:szCs w:val="26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предпринимательской и инвестиционной деятельн</w:t>
      </w:r>
      <w:r w:rsidR="00506313" w:rsidRPr="006633DD">
        <w:rPr>
          <w:rFonts w:eastAsia="Times New Roman" w:cs="Times New Roman"/>
          <w:sz w:val="26"/>
          <w:szCs w:val="26"/>
          <w:lang w:eastAsia="ru-RU"/>
        </w:rPr>
        <w:t xml:space="preserve">ости в </w:t>
      </w:r>
      <w:proofErr w:type="spellStart"/>
      <w:r w:rsidR="00506313" w:rsidRPr="006633DD">
        <w:rPr>
          <w:rFonts w:eastAsia="Times New Roman" w:cs="Times New Roman"/>
          <w:sz w:val="26"/>
          <w:szCs w:val="26"/>
          <w:lang w:eastAsia="ru-RU"/>
        </w:rPr>
        <w:t>Погарском</w:t>
      </w:r>
      <w:proofErr w:type="spellEnd"/>
      <w:r w:rsidR="00506313" w:rsidRPr="006633DD">
        <w:rPr>
          <w:rFonts w:eastAsia="Times New Roman" w:cs="Times New Roman"/>
          <w:sz w:val="26"/>
          <w:szCs w:val="26"/>
          <w:lang w:eastAsia="ru-RU"/>
        </w:rPr>
        <w:t xml:space="preserve"> районе», уполномоченным органом </w:t>
      </w:r>
      <w:proofErr w:type="gramStart"/>
      <w:r w:rsidR="00506313" w:rsidRPr="006633DD">
        <w:rPr>
          <w:rFonts w:eastAsia="Times New Roman" w:cs="Times New Roman"/>
          <w:sz w:val="26"/>
          <w:szCs w:val="26"/>
          <w:lang w:eastAsia="ru-RU"/>
        </w:rPr>
        <w:t>проведена</w:t>
      </w:r>
      <w:proofErr w:type="gramEnd"/>
      <w:r w:rsidR="00506313" w:rsidRPr="006633DD">
        <w:rPr>
          <w:rFonts w:eastAsia="Times New Roman" w:cs="Times New Roman"/>
          <w:sz w:val="26"/>
          <w:szCs w:val="26"/>
          <w:lang w:eastAsia="ru-RU"/>
        </w:rPr>
        <w:t xml:space="preserve"> процедура </w:t>
      </w:r>
      <w:proofErr w:type="gramStart"/>
      <w:r w:rsidR="00506313" w:rsidRPr="006633DD">
        <w:rPr>
          <w:rFonts w:eastAsia="Times New Roman" w:cs="Times New Roman"/>
          <w:sz w:val="26"/>
          <w:szCs w:val="26"/>
          <w:lang w:eastAsia="ru-RU"/>
        </w:rPr>
        <w:t xml:space="preserve">оценки регулирующего воздействия </w:t>
      </w:r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проект</w:t>
      </w:r>
      <w:r w:rsidR="00506313" w:rsidRPr="006633DD">
        <w:rPr>
          <w:rFonts w:eastAsia="Times New Roman" w:cs="Times New Roman"/>
          <w:sz w:val="26"/>
          <w:szCs w:val="26"/>
          <w:lang w:eastAsia="ru-RU"/>
        </w:rPr>
        <w:t>а</w:t>
      </w:r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постановления администрации</w:t>
      </w:r>
      <w:proofErr w:type="gramEnd"/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0D5542" w:rsidRPr="006633DD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района</w:t>
      </w:r>
      <w:r w:rsidR="006E76CF" w:rsidRPr="006633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E76CF" w:rsidRPr="006633DD">
        <w:rPr>
          <w:rFonts w:eastAsia="Times New Roman" w:cs="Times New Roman"/>
          <w:bCs/>
          <w:sz w:val="26"/>
          <w:szCs w:val="26"/>
          <w:lang w:eastAsia="ru-RU"/>
        </w:rPr>
        <w:t xml:space="preserve">«Об утверждении положений  «О порядке размещения нестационарных торговых объектов на территории </w:t>
      </w:r>
      <w:proofErr w:type="spellStart"/>
      <w:r w:rsidR="006E76CF" w:rsidRPr="006633DD">
        <w:rPr>
          <w:rFonts w:eastAsia="Times New Roman" w:cs="Times New Roman"/>
          <w:bCs/>
          <w:sz w:val="26"/>
          <w:szCs w:val="26"/>
          <w:lang w:eastAsia="ru-RU"/>
        </w:rPr>
        <w:t>Погарского</w:t>
      </w:r>
      <w:proofErr w:type="spellEnd"/>
      <w:r w:rsidR="006E76CF" w:rsidRPr="006633DD">
        <w:rPr>
          <w:rFonts w:eastAsia="Times New Roman" w:cs="Times New Roman"/>
          <w:bCs/>
          <w:sz w:val="26"/>
          <w:szCs w:val="26"/>
          <w:lang w:eastAsia="ru-RU"/>
        </w:rPr>
        <w:t xml:space="preserve"> городского поселения», «О комиссии по проведению конкурса на право размещения нестационарных торговых объектов на территории </w:t>
      </w:r>
      <w:proofErr w:type="spellStart"/>
      <w:r w:rsidR="006E76CF" w:rsidRPr="006633DD">
        <w:rPr>
          <w:rFonts w:eastAsia="Times New Roman" w:cs="Times New Roman"/>
          <w:bCs/>
          <w:sz w:val="26"/>
          <w:szCs w:val="26"/>
          <w:lang w:eastAsia="ru-RU"/>
        </w:rPr>
        <w:t>Погарского</w:t>
      </w:r>
      <w:proofErr w:type="spellEnd"/>
      <w:r w:rsidR="006E76CF" w:rsidRPr="006633DD">
        <w:rPr>
          <w:rFonts w:eastAsia="Times New Roman" w:cs="Times New Roman"/>
          <w:bCs/>
          <w:sz w:val="26"/>
          <w:szCs w:val="26"/>
          <w:lang w:eastAsia="ru-RU"/>
        </w:rPr>
        <w:t xml:space="preserve"> городского поселения»</w:t>
      </w:r>
      <w:r w:rsidR="00506313" w:rsidRPr="006633DD">
        <w:rPr>
          <w:rFonts w:eastAsia="Times New Roman" w:cs="Times New Roman"/>
          <w:sz w:val="26"/>
          <w:szCs w:val="26"/>
          <w:lang w:eastAsia="ru-RU"/>
        </w:rPr>
        <w:t>, подготовленного</w:t>
      </w:r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отделом экономического развития администрации </w:t>
      </w:r>
      <w:proofErr w:type="spellStart"/>
      <w:r w:rsidR="000D5542" w:rsidRPr="006633DD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="000D5542" w:rsidRPr="006633DD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506313" w:rsidRPr="006633DD">
        <w:rPr>
          <w:rFonts w:eastAsia="Times New Roman" w:cs="Times New Roman"/>
          <w:sz w:val="26"/>
          <w:szCs w:val="26"/>
          <w:lang w:eastAsia="ru-RU"/>
        </w:rPr>
        <w:t>а.</w:t>
      </w:r>
      <w:r w:rsidRPr="006633DD">
        <w:rPr>
          <w:rFonts w:eastAsia="Times New Roman" w:cs="Times New Roman"/>
          <w:sz w:val="26"/>
          <w:szCs w:val="26"/>
          <w:lang w:eastAsia="ru-RU"/>
        </w:rPr>
        <w:t>   </w:t>
      </w:r>
    </w:p>
    <w:p w:rsidR="004C6489" w:rsidRPr="006633DD" w:rsidRDefault="004C6489" w:rsidP="004C6489">
      <w:pPr>
        <w:ind w:firstLine="74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6633DD">
        <w:rPr>
          <w:rFonts w:eastAsia="Times New Roman" w:cs="Times New Roman"/>
          <w:sz w:val="26"/>
          <w:szCs w:val="26"/>
          <w:lang w:eastAsia="ru-RU"/>
        </w:rPr>
        <w:t xml:space="preserve">Порядком </w:t>
      </w:r>
      <w:r w:rsidRPr="006633DD">
        <w:rPr>
          <w:rFonts w:eastAsia="Times New Roman" w:cs="Times New Roman"/>
          <w:sz w:val="26"/>
          <w:szCs w:val="26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6633DD" w:rsidRDefault="004C6489" w:rsidP="0025767F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6633DD">
        <w:rPr>
          <w:rFonts w:eastAsia="Times New Roman" w:cs="Times New Roman"/>
          <w:sz w:val="26"/>
          <w:szCs w:val="26"/>
          <w:lang w:eastAsia="ru-RU"/>
        </w:rPr>
        <w:t>впервые.</w:t>
      </w:r>
    </w:p>
    <w:p w:rsidR="0025767F" w:rsidRPr="006633DD" w:rsidRDefault="0025767F" w:rsidP="0025767F">
      <w:pPr>
        <w:ind w:firstLine="720"/>
        <w:jc w:val="both"/>
        <w:rPr>
          <w:sz w:val="26"/>
          <w:szCs w:val="26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 xml:space="preserve">Публичные консультации </w:t>
      </w:r>
      <w:r w:rsidRPr="006633DD">
        <w:rPr>
          <w:sz w:val="26"/>
          <w:szCs w:val="26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6633DD">
        <w:rPr>
          <w:sz w:val="26"/>
          <w:szCs w:val="26"/>
        </w:rPr>
        <w:t xml:space="preserve">е с </w:t>
      </w:r>
      <w:r w:rsidRPr="006633DD">
        <w:rPr>
          <w:sz w:val="26"/>
          <w:szCs w:val="26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6633DD" w:rsidRDefault="0025767F" w:rsidP="0025767F">
      <w:pPr>
        <w:ind w:firstLine="720"/>
        <w:jc w:val="both"/>
        <w:rPr>
          <w:sz w:val="26"/>
          <w:szCs w:val="26"/>
        </w:rPr>
      </w:pPr>
      <w:r w:rsidRPr="006633DD">
        <w:rPr>
          <w:sz w:val="26"/>
          <w:szCs w:val="26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6633DD" w:rsidRDefault="004C6489" w:rsidP="0025767F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6633DD">
        <w:rPr>
          <w:rFonts w:eastAsia="Times New Roman" w:cs="Times New Roman"/>
          <w:sz w:val="26"/>
          <w:szCs w:val="26"/>
          <w:lang w:eastAsia="ru-RU"/>
        </w:rPr>
        <w:t>http://www.pogaradm.ru/</w:t>
      </w:r>
    </w:p>
    <w:p w:rsidR="0025767F" w:rsidRPr="006633DD" w:rsidRDefault="004C6489" w:rsidP="0025767F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6633DD">
        <w:rPr>
          <w:rFonts w:eastAsia="Times New Roman" w:cs="Times New Roman"/>
          <w:sz w:val="26"/>
          <w:szCs w:val="26"/>
          <w:lang w:eastAsia="ru-RU"/>
        </w:rPr>
        <w:fldChar w:fldCharType="begin"/>
      </w:r>
      <w:r w:rsidRPr="006633DD">
        <w:rPr>
          <w:rFonts w:eastAsia="Times New Roman" w:cs="Times New Roman"/>
          <w:sz w:val="26"/>
          <w:szCs w:val="26"/>
          <w:lang w:eastAsia="ru-RU"/>
        </w:rPr>
        <w:instrText xml:space="preserve"> HYPERLINK "http://www.admsur.ru/bank/dokumenty/2015/post_1028.htm" \l "_ftn4" \o "" </w:instrText>
      </w:r>
      <w:r w:rsidRPr="006633DD">
        <w:rPr>
          <w:rFonts w:eastAsia="Times New Roman" w:cs="Times New Roman"/>
          <w:sz w:val="26"/>
          <w:szCs w:val="26"/>
          <w:lang w:eastAsia="ru-RU"/>
        </w:rPr>
        <w:fldChar w:fldCharType="end"/>
      </w:r>
      <w:bookmarkEnd w:id="0"/>
      <w:r w:rsidR="0025767F" w:rsidRPr="006633DD">
        <w:rPr>
          <w:rFonts w:eastAsia="Times New Roman" w:cs="Times New Roman"/>
          <w:sz w:val="26"/>
          <w:szCs w:val="26"/>
          <w:lang w:eastAsia="ru-RU"/>
        </w:rPr>
        <w:t>:</w:t>
      </w:r>
    </w:p>
    <w:p w:rsidR="0025767F" w:rsidRPr="006633DD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lastRenderedPageBreak/>
        <w:t>имеется достаточное обоснование решения проблемы предложенным способом регулирования;</w:t>
      </w:r>
    </w:p>
    <w:p w:rsidR="0025767F" w:rsidRPr="006633DD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6633DD">
        <w:rPr>
          <w:rFonts w:eastAsia="Times New Roman" w:cs="Times New Roman"/>
          <w:sz w:val="26"/>
          <w:szCs w:val="26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6633DD">
        <w:rPr>
          <w:rFonts w:eastAsia="Times New Roman" w:cs="Times New Roman"/>
          <w:sz w:val="26"/>
          <w:szCs w:val="26"/>
          <w:lang w:eastAsia="ru-RU"/>
        </w:rPr>
        <w:t>;</w:t>
      </w:r>
    </w:p>
    <w:p w:rsidR="0025767F" w:rsidRPr="006633DD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>иные замечания и предложения отсутствуют.</w:t>
      </w:r>
    </w:p>
    <w:p w:rsidR="0025767F" w:rsidRPr="006633DD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0FD6" w:rsidRPr="006633DD" w:rsidRDefault="00BF0FD6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0FD6" w:rsidRPr="006633DD" w:rsidRDefault="00BF0FD6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Pr="006633DD" w:rsidRDefault="0025767F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6633DD">
        <w:rPr>
          <w:rFonts w:eastAsia="Times New Roman" w:cs="Times New Roman"/>
          <w:sz w:val="26"/>
          <w:szCs w:val="26"/>
          <w:lang w:eastAsia="ru-RU"/>
        </w:rPr>
        <w:t xml:space="preserve">Начальник отдела экономического развития                             </w:t>
      </w:r>
      <w:r w:rsidR="00BF0FD6" w:rsidRPr="006633DD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734726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BF0FD6" w:rsidRPr="006633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33DD">
        <w:rPr>
          <w:rFonts w:eastAsia="Times New Roman" w:cs="Times New Roman"/>
          <w:sz w:val="26"/>
          <w:szCs w:val="26"/>
          <w:lang w:eastAsia="ru-RU"/>
        </w:rPr>
        <w:t>С.М. Бурда</w:t>
      </w:r>
      <w:r w:rsidR="004C6489" w:rsidRPr="006633DD">
        <w:rPr>
          <w:rFonts w:eastAsia="Times New Roman" w:cs="Times New Roman"/>
          <w:sz w:val="26"/>
          <w:szCs w:val="26"/>
          <w:lang w:eastAsia="ru-RU"/>
        </w:rPr>
        <w:t> </w:t>
      </w:r>
    </w:p>
    <w:p w:rsidR="0025767F" w:rsidRPr="006633DD" w:rsidRDefault="006E76CF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>04</w:t>
      </w:r>
      <w:r w:rsidR="0025767F" w:rsidRPr="006633DD">
        <w:rPr>
          <w:rFonts w:eastAsia="Times New Roman" w:cs="Times New Roman"/>
          <w:sz w:val="26"/>
          <w:szCs w:val="26"/>
          <w:lang w:eastAsia="ru-RU"/>
        </w:rPr>
        <w:t>.0</w:t>
      </w:r>
      <w:r w:rsidRPr="006633DD">
        <w:rPr>
          <w:rFonts w:eastAsia="Times New Roman" w:cs="Times New Roman"/>
          <w:sz w:val="26"/>
          <w:szCs w:val="26"/>
          <w:lang w:eastAsia="ru-RU"/>
        </w:rPr>
        <w:t>8</w:t>
      </w:r>
      <w:r w:rsidR="0025767F" w:rsidRPr="006633DD">
        <w:rPr>
          <w:rFonts w:eastAsia="Times New Roman" w:cs="Times New Roman"/>
          <w:sz w:val="26"/>
          <w:szCs w:val="26"/>
          <w:lang w:eastAsia="ru-RU"/>
        </w:rPr>
        <w:t>.201</w:t>
      </w:r>
      <w:r w:rsidR="00D333C6" w:rsidRPr="006633DD">
        <w:rPr>
          <w:rFonts w:eastAsia="Times New Roman" w:cs="Times New Roman"/>
          <w:sz w:val="26"/>
          <w:szCs w:val="26"/>
          <w:lang w:eastAsia="ru-RU"/>
        </w:rPr>
        <w:t>7</w:t>
      </w:r>
      <w:r w:rsidR="0025767F" w:rsidRPr="006633DD">
        <w:rPr>
          <w:rFonts w:eastAsia="Times New Roman" w:cs="Times New Roman"/>
          <w:sz w:val="26"/>
          <w:szCs w:val="26"/>
          <w:lang w:eastAsia="ru-RU"/>
        </w:rPr>
        <w:t xml:space="preserve"> года</w:t>
      </w:r>
    </w:p>
    <w:p w:rsidR="004C6489" w:rsidRPr="006633DD" w:rsidRDefault="004C6489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> </w:t>
      </w:r>
    </w:p>
    <w:p w:rsidR="004C6489" w:rsidRPr="006633DD" w:rsidRDefault="004C6489" w:rsidP="004C6489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33DD">
        <w:rPr>
          <w:rFonts w:eastAsia="Times New Roman" w:cs="Times New Roman"/>
          <w:sz w:val="26"/>
          <w:szCs w:val="26"/>
          <w:lang w:eastAsia="ru-RU"/>
        </w:rPr>
        <w:t> </w:t>
      </w:r>
    </w:p>
    <w:p w:rsidR="00D60D8A" w:rsidRPr="006633DD" w:rsidRDefault="00D60D8A">
      <w:pPr>
        <w:rPr>
          <w:sz w:val="26"/>
          <w:szCs w:val="26"/>
        </w:rPr>
      </w:pPr>
    </w:p>
    <w:sectPr w:rsidR="00D60D8A" w:rsidRPr="006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2F7D18"/>
    <w:rsid w:val="004B3880"/>
    <w:rsid w:val="004C6489"/>
    <w:rsid w:val="00506313"/>
    <w:rsid w:val="005D0F4B"/>
    <w:rsid w:val="006633DD"/>
    <w:rsid w:val="00693A6C"/>
    <w:rsid w:val="006E76CF"/>
    <w:rsid w:val="00734726"/>
    <w:rsid w:val="00806091"/>
    <w:rsid w:val="009F1B88"/>
    <w:rsid w:val="00A75A36"/>
    <w:rsid w:val="00BF0FD6"/>
    <w:rsid w:val="00D333C6"/>
    <w:rsid w:val="00D60D8A"/>
    <w:rsid w:val="00E81E1F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16</cp:revision>
  <cp:lastPrinted>2016-01-19T11:31:00Z</cp:lastPrinted>
  <dcterms:created xsi:type="dcterms:W3CDTF">2016-03-23T14:13:00Z</dcterms:created>
  <dcterms:modified xsi:type="dcterms:W3CDTF">2017-10-19T08:40:00Z</dcterms:modified>
</cp:coreProperties>
</file>