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92" w:rsidRDefault="00066A92" w:rsidP="00066A92">
      <w:pPr>
        <w:tabs>
          <w:tab w:val="left" w:pos="0"/>
        </w:tabs>
        <w:spacing w:line="276" w:lineRule="auto"/>
        <w:ind w:right="-993"/>
        <w:jc w:val="center"/>
        <w:rPr>
          <w:rFonts w:eastAsiaTheme="minorEastAsia"/>
          <w:b/>
        </w:rPr>
      </w:pPr>
      <w:bookmarkStart w:id="0" w:name="_GoBack"/>
      <w:bookmarkEnd w:id="0"/>
      <w:r>
        <w:rPr>
          <w:rFonts w:eastAsiaTheme="minorEastAsia"/>
          <w:b/>
        </w:rPr>
        <w:t>РОССИЙСКАЯ ФЕДЕРАЦИЯ</w:t>
      </w:r>
    </w:p>
    <w:p w:rsidR="00066A92" w:rsidRDefault="00066A92" w:rsidP="00066A92">
      <w:pPr>
        <w:tabs>
          <w:tab w:val="left" w:pos="0"/>
        </w:tabs>
        <w:spacing w:line="276" w:lineRule="auto"/>
        <w:ind w:right="-99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БРЯНСКАЯ ОБЛАСТЬ</w:t>
      </w:r>
    </w:p>
    <w:p w:rsidR="00066A92" w:rsidRDefault="00066A92" w:rsidP="00066A92">
      <w:pPr>
        <w:tabs>
          <w:tab w:val="left" w:pos="0"/>
        </w:tabs>
        <w:spacing w:line="276" w:lineRule="auto"/>
        <w:ind w:right="-993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Контрольно-счётная палата Погарского района</w:t>
      </w:r>
    </w:p>
    <w:p w:rsidR="00066A92" w:rsidRDefault="00066A92" w:rsidP="00066A92">
      <w:pPr>
        <w:tabs>
          <w:tab w:val="left" w:pos="0"/>
        </w:tabs>
        <w:spacing w:line="276" w:lineRule="auto"/>
        <w:ind w:right="-143"/>
        <w:jc w:val="center"/>
        <w:rPr>
          <w:rFonts w:eastAsiaTheme="minorEastAsia"/>
        </w:rPr>
      </w:pPr>
      <w:r>
        <w:rPr>
          <w:rFonts w:eastAsiaTheme="minorEastAsia"/>
        </w:rPr>
        <w:t xml:space="preserve">243550 Брянская область, </w:t>
      </w:r>
      <w:proofErr w:type="spellStart"/>
      <w:r>
        <w:rPr>
          <w:rFonts w:eastAsiaTheme="minorEastAsia"/>
        </w:rPr>
        <w:t>пгт</w:t>
      </w:r>
      <w:proofErr w:type="spellEnd"/>
      <w:r>
        <w:rPr>
          <w:rFonts w:eastAsiaTheme="minorEastAsia"/>
        </w:rPr>
        <w:t>. Погар, ул. Ленина, д.1.</w:t>
      </w:r>
    </w:p>
    <w:p w:rsidR="00066A92" w:rsidRDefault="00066A92" w:rsidP="00066A92">
      <w:pPr>
        <w:tabs>
          <w:tab w:val="left" w:pos="0"/>
        </w:tabs>
        <w:spacing w:line="276" w:lineRule="auto"/>
        <w:ind w:right="-993"/>
        <w:jc w:val="center"/>
        <w:rPr>
          <w:rFonts w:eastAsiaTheme="minorEastAsia"/>
        </w:rPr>
      </w:pPr>
      <w:r>
        <w:rPr>
          <w:rFonts w:eastAsiaTheme="minorEastAsia"/>
        </w:rPr>
        <w:t>тел:(848349) 2-11-37</w:t>
      </w:r>
    </w:p>
    <w:p w:rsidR="00066A92" w:rsidRDefault="00066A92" w:rsidP="00066A92">
      <w:pPr>
        <w:tabs>
          <w:tab w:val="left" w:pos="0"/>
          <w:tab w:val="left" w:pos="3788"/>
        </w:tabs>
        <w:spacing w:after="200" w:line="276" w:lineRule="auto"/>
        <w:ind w:left="851" w:right="-1" w:firstLine="567"/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:rsidR="00066A92" w:rsidRDefault="000D653B" w:rsidP="00066A92">
      <w:pPr>
        <w:tabs>
          <w:tab w:val="left" w:pos="567"/>
        </w:tabs>
        <w:spacing w:after="200" w:line="276" w:lineRule="auto"/>
        <w:ind w:left="567" w:right="-425" w:hanging="567"/>
        <w:jc w:val="both"/>
        <w:rPr>
          <w:rFonts w:eastAsiaTheme="minorEastAsia"/>
        </w:rPr>
      </w:pPr>
      <w:r>
        <w:rPr>
          <w:rFonts w:eastAsiaTheme="minorEastAsia"/>
        </w:rPr>
        <w:t xml:space="preserve">  от 23</w:t>
      </w:r>
      <w:r w:rsidR="00066A92">
        <w:rPr>
          <w:rFonts w:eastAsiaTheme="minorEastAsia"/>
        </w:rPr>
        <w:t xml:space="preserve">.09.2021 года                                                                                        </w:t>
      </w:r>
      <w:proofErr w:type="spellStart"/>
      <w:r w:rsidR="00066A92">
        <w:rPr>
          <w:rFonts w:eastAsiaTheme="minorEastAsia"/>
        </w:rPr>
        <w:t>пгт</w:t>
      </w:r>
      <w:proofErr w:type="spellEnd"/>
      <w:r w:rsidR="00066A92">
        <w:rPr>
          <w:rFonts w:eastAsiaTheme="minorEastAsia"/>
        </w:rPr>
        <w:t>. Погар</w:t>
      </w:r>
    </w:p>
    <w:p w:rsidR="00066A92" w:rsidRDefault="00066A92" w:rsidP="00066A92">
      <w:pPr>
        <w:tabs>
          <w:tab w:val="left" w:pos="567"/>
        </w:tabs>
        <w:spacing w:after="200" w:line="276" w:lineRule="auto"/>
        <w:ind w:left="567" w:right="-993" w:hanging="567"/>
        <w:jc w:val="both"/>
        <w:rPr>
          <w:rFonts w:eastAsiaTheme="minorEastAsia"/>
          <w:b/>
        </w:rPr>
      </w:pPr>
    </w:p>
    <w:p w:rsidR="00066A92" w:rsidRDefault="00066A92" w:rsidP="00066A92">
      <w:pPr>
        <w:tabs>
          <w:tab w:val="left" w:pos="567"/>
        </w:tabs>
        <w:spacing w:line="276" w:lineRule="auto"/>
        <w:ind w:left="567" w:right="-993" w:hanging="567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Заключение Контрольно-счетной палаты Погарского района</w:t>
      </w:r>
    </w:p>
    <w:p w:rsidR="00066A92" w:rsidRDefault="00066A92" w:rsidP="00066A92">
      <w:pPr>
        <w:tabs>
          <w:tab w:val="left" w:pos="284"/>
          <w:tab w:val="left" w:pos="567"/>
        </w:tabs>
        <w:spacing w:after="200" w:line="276" w:lineRule="auto"/>
        <w:ind w:left="567" w:right="-1" w:hanging="56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на внесение изменений в решение Погарского районного Совета народных депутатов № 6-124 от 15.12.2020 года «О бюджете Погарского муниципального района Брянской области на 2021 год и на плановый период 2022 и 2023 годов».</w:t>
      </w:r>
    </w:p>
    <w:p w:rsidR="00066A92" w:rsidRDefault="00066A92" w:rsidP="00066A92">
      <w:pPr>
        <w:tabs>
          <w:tab w:val="left" w:pos="0"/>
        </w:tabs>
        <w:spacing w:line="276" w:lineRule="auto"/>
        <w:ind w:right="-1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в решение  № 6-124 от 15.12.2020 года «О бюджете Погарского муниципального района Брянской области на 2021 год и на плановый период 2022 и 2023 годов»,  подготовлено в соответствии со статьей 264 Бюджетного кодекса Российской Федерации, Положения «О Контрольно-счетной палате Погарского района», утвержденного  решением районного Совета народных депутатов от 15.12.2011 г. №4-249,  пунктом 1.2.1 плана  работы Контрольно-счетной палаты Погарского района на 2021 год, утвержденного   решением  Коллегии  Контрольно-счетной палаты Погарского района №19-рк  от  29.12.2020 года, Стандартом  внешнего муниципального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утвержденного решением  Коллегии Контрольно-счетной палаты Погарского района   №11-рк  от 26.04.2012 года.</w:t>
      </w:r>
    </w:p>
    <w:p w:rsidR="00066A92" w:rsidRDefault="00066A92" w:rsidP="00066A92">
      <w:pPr>
        <w:tabs>
          <w:tab w:val="left" w:pos="0"/>
        </w:tabs>
        <w:spacing w:after="200" w:line="276" w:lineRule="auto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Рассмотрев предложения администрации Погарского района о внесении изменений в решение Погарского районного Совета народных депутатов от 15.12.2020 года №6-124 «О бюджете Погарского муниципального района Брянской области на 2021 год и на плановый период 2022 и 2023 годов», Контрольно-счетная палата Погарского района в целях приведения бюджета Погарского района на 2021 год в соответствие с действующим законодательством, согласовывает провести следующие изменения:</w:t>
      </w:r>
    </w:p>
    <w:p w:rsidR="00066A92" w:rsidRDefault="00066A92" w:rsidP="00066A92">
      <w:pPr>
        <w:tabs>
          <w:tab w:val="left" w:pos="0"/>
        </w:tabs>
        <w:spacing w:after="200" w:line="276" w:lineRule="auto"/>
        <w:ind w:firstLine="851"/>
        <w:jc w:val="both"/>
        <w:rPr>
          <w:rFonts w:eastAsiaTheme="minorEastAsia"/>
          <w:sz w:val="28"/>
          <w:szCs w:val="28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3160"/>
        <w:gridCol w:w="3606"/>
        <w:gridCol w:w="1451"/>
        <w:gridCol w:w="1559"/>
      </w:tblGrid>
      <w:tr w:rsidR="000D653B" w:rsidRPr="000D653B" w:rsidTr="000D653B">
        <w:trPr>
          <w:trHeight w:val="345"/>
        </w:trPr>
        <w:tc>
          <w:tcPr>
            <w:tcW w:w="3160" w:type="dxa"/>
            <w:noWrap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lastRenderedPageBreak/>
              <w:t> 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r w:rsidRPr="000D653B">
              <w:rPr>
                <w:b/>
                <w:bCs/>
              </w:rPr>
              <w:t> 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r w:rsidRPr="000D653B">
              <w:rPr>
                <w:b/>
                <w:bCs/>
              </w:rPr>
              <w:t>(рублей)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r w:rsidRPr="000D653B">
              <w:rPr>
                <w:b/>
                <w:bCs/>
              </w:rPr>
              <w:t>(рублей)</w:t>
            </w:r>
          </w:p>
        </w:tc>
      </w:tr>
      <w:tr w:rsidR="000D653B" w:rsidRPr="000D653B" w:rsidTr="000D653B">
        <w:trPr>
          <w:trHeight w:val="690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r w:rsidRPr="000D653B">
              <w:rPr>
                <w:b/>
                <w:bCs/>
              </w:rPr>
              <w:t>КБК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r w:rsidRPr="000D653B">
              <w:rPr>
                <w:b/>
                <w:bCs/>
              </w:rPr>
              <w:t>Доходы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r w:rsidRPr="000D653B">
              <w:rPr>
                <w:b/>
                <w:bCs/>
              </w:rPr>
              <w:t>Сумма 2021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r w:rsidRPr="000D653B">
              <w:rPr>
                <w:b/>
                <w:bCs/>
              </w:rPr>
              <w:t>Сумма 2023</w:t>
            </w:r>
          </w:p>
        </w:tc>
      </w:tr>
      <w:tr w:rsidR="000D653B" w:rsidRPr="000D653B" w:rsidTr="000D653B">
        <w:trPr>
          <w:trHeight w:val="750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1 00 00000 00 0000 000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Налоговые и неналоговые доходы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2 449 279,55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370 531,00</w:t>
            </w:r>
          </w:p>
        </w:tc>
      </w:tr>
      <w:tr w:rsidR="000D653B" w:rsidRPr="000D653B" w:rsidTr="000D653B">
        <w:trPr>
          <w:trHeight w:val="1080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2 02 29999 05 0000 150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Субсидии бюджетам муниципальных районов на отдельные мероприятия по развитию образования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4 363 612,73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465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Всего доходов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6 812 892,28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370 531,00</w:t>
            </w:r>
          </w:p>
        </w:tc>
      </w:tr>
      <w:tr w:rsidR="000D653B" w:rsidRPr="000D653B" w:rsidTr="000D653B">
        <w:trPr>
          <w:trHeight w:val="450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r w:rsidRPr="000D653B">
              <w:rPr>
                <w:b/>
                <w:bCs/>
              </w:rPr>
              <w:t>Расходы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1200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009.1402.0600083020.510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 xml:space="preserve">Поддержка мер по обеспечению сбалансированности бюджетов поселений (для </w:t>
            </w:r>
            <w:proofErr w:type="spellStart"/>
            <w:r w:rsidRPr="000D653B">
              <w:t>Гетуновского</w:t>
            </w:r>
            <w:proofErr w:type="spellEnd"/>
            <w:r w:rsidRPr="000D653B">
              <w:t xml:space="preserve"> сельского поселения)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529 800,00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1635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003.0702.03000S4820.610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Субсидии бюджетам муниципальных районов на отдельные мероприятия по развитию образования (постановление Правительства Брянской области  от 26.07.2021 №283-п (капитальный ремонт зданий МБОУ ПСШ №1, МБОУ ПСШ №2)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4 363 612,73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750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003.0702.0300080310.610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Общеобразовательные организации (монтаж системы АПС и ОП в здании МБОУ Чеховской ООШ)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285 700,00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750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003.0702.0300080310.610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 xml:space="preserve">Общеобразовательные организации (ремонт пожарной сигнализации в здании МБОУ </w:t>
            </w:r>
            <w:proofErr w:type="spellStart"/>
            <w:r w:rsidRPr="000D653B">
              <w:t>Куровская</w:t>
            </w:r>
            <w:proofErr w:type="spellEnd"/>
            <w:r w:rsidRPr="000D653B">
              <w:t xml:space="preserve"> ООШ)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29 561,00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750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003.0702.0300080310.610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Общеобразовательные организации (на оплату налогов за 3 квартал )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117 092,66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945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003.0702.0300080310.610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 xml:space="preserve">Общеобразовательные организации (приобретение учебников "Русский </w:t>
            </w:r>
            <w:proofErr w:type="spellStart"/>
            <w:r w:rsidRPr="000D653B">
              <w:t>язык"для</w:t>
            </w:r>
            <w:proofErr w:type="spellEnd"/>
            <w:r w:rsidRPr="000D653B">
              <w:t xml:space="preserve"> 3-4 классов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592 960,00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960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003.0702.0300080310.610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Общеобразовательные организации (приобретение компьютеров в компьютерный класс в количестве 14 штук)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308 100,00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1410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lastRenderedPageBreak/>
              <w:t>003.0702.03000S4820.610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Софинансирование на отдельные мероприятия по развитию образования (софинансирование на капитальный ремонт зданий МБОУ ПСШ №1, МБОУ ПСШ №2)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278 528,47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1575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003.0702.030Е250970.610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Софинансирование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0,42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1065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006.0412.0700080900.240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37 000,00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930"/>
        </w:trPr>
        <w:tc>
          <w:tcPr>
            <w:tcW w:w="3160" w:type="dxa"/>
            <w:hideMark/>
          </w:tcPr>
          <w:p w:rsidR="000D653B" w:rsidRPr="000D653B" w:rsidRDefault="00047704" w:rsidP="000D653B">
            <w:pPr>
              <w:tabs>
                <w:tab w:val="left" w:pos="0"/>
              </w:tabs>
              <w:spacing w:line="276" w:lineRule="auto"/>
              <w:jc w:val="both"/>
            </w:pPr>
            <w:r>
              <w:t>916.1003.0200082540.630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Оказание поддержки социально ориентировочным некоммерческим организациям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12 537,00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975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916.1101.02000S7620.410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 xml:space="preserve">Софинансирование на обеспечение жильем тренеров, тренеров-преподавателей учреждений физической культуры и спорта 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370 531,00</w:t>
            </w:r>
          </w:p>
        </w:tc>
      </w:tr>
      <w:tr w:rsidR="000D653B" w:rsidRPr="000D653B" w:rsidTr="000D653B">
        <w:trPr>
          <w:trHeight w:val="930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916.0113.0200080070.240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Информационное обеспечение деятельности органов местного самоуправления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100 000,00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855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916.0801.0401182400.240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Мероприятия по развитию культуры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158 000,00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</w:tr>
      <w:tr w:rsidR="000D653B" w:rsidRPr="000D653B" w:rsidTr="000D653B">
        <w:trPr>
          <w:trHeight w:val="345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Всего расходов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6 812 892,28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370 531,00</w:t>
            </w:r>
          </w:p>
        </w:tc>
      </w:tr>
      <w:tr w:rsidR="000D653B" w:rsidRPr="000D653B" w:rsidTr="000D653B">
        <w:trPr>
          <w:trHeight w:val="390"/>
        </w:trPr>
        <w:tc>
          <w:tcPr>
            <w:tcW w:w="3160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 </w:t>
            </w:r>
          </w:p>
        </w:tc>
        <w:tc>
          <w:tcPr>
            <w:tcW w:w="3606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 xml:space="preserve">Дефицит </w:t>
            </w:r>
          </w:p>
        </w:tc>
        <w:tc>
          <w:tcPr>
            <w:tcW w:w="1451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0,00</w:t>
            </w:r>
          </w:p>
        </w:tc>
        <w:tc>
          <w:tcPr>
            <w:tcW w:w="1559" w:type="dxa"/>
            <w:hideMark/>
          </w:tcPr>
          <w:p w:rsidR="000D653B" w:rsidRPr="000D653B" w:rsidRDefault="000D653B" w:rsidP="000D653B">
            <w:pPr>
              <w:tabs>
                <w:tab w:val="left" w:pos="0"/>
              </w:tabs>
              <w:spacing w:line="276" w:lineRule="auto"/>
              <w:jc w:val="both"/>
            </w:pPr>
            <w:r w:rsidRPr="000D653B">
              <w:t>0,00</w:t>
            </w:r>
          </w:p>
        </w:tc>
      </w:tr>
    </w:tbl>
    <w:p w:rsidR="000D653B" w:rsidRDefault="000D653B" w:rsidP="00066A92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:rsidR="00066A92" w:rsidRDefault="00066A92" w:rsidP="00066A92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изменений, бюджет Погарского муниципального района на 2021 год характеризуется следующими показателями:</w:t>
      </w:r>
    </w:p>
    <w:p w:rsidR="00066A92" w:rsidRDefault="00066A92" w:rsidP="00066A92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доходов бюджет</w:t>
      </w:r>
      <w:r w:rsidR="000D653B">
        <w:rPr>
          <w:sz w:val="28"/>
          <w:szCs w:val="28"/>
        </w:rPr>
        <w:t>а прогнозируется в сумме 586 453</w:t>
      </w:r>
      <w:r>
        <w:rPr>
          <w:sz w:val="28"/>
          <w:szCs w:val="28"/>
        </w:rPr>
        <w:t> 064,07 рублей, в том числе налоговые и неналоговые доходы в сумме 186 </w:t>
      </w:r>
      <w:r w:rsidR="000D653B">
        <w:rPr>
          <w:sz w:val="28"/>
          <w:szCs w:val="28"/>
        </w:rPr>
        <w:t>898</w:t>
      </w:r>
      <w:r>
        <w:rPr>
          <w:sz w:val="28"/>
          <w:szCs w:val="28"/>
        </w:rPr>
        <w:t> 568,19 рублей;</w:t>
      </w:r>
    </w:p>
    <w:p w:rsidR="00066A92" w:rsidRDefault="00066A92" w:rsidP="00066A92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расходо</w:t>
      </w:r>
      <w:r w:rsidR="000D653B">
        <w:rPr>
          <w:sz w:val="28"/>
          <w:szCs w:val="28"/>
        </w:rPr>
        <w:t>в прогнозируется в сумме 606 972</w:t>
      </w:r>
      <w:r>
        <w:rPr>
          <w:sz w:val="28"/>
          <w:szCs w:val="28"/>
        </w:rPr>
        <w:t> 097,17 рублей;</w:t>
      </w:r>
    </w:p>
    <w:p w:rsidR="00066A92" w:rsidRDefault="00066A92" w:rsidP="00066A92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объём доходов районного бюджета на 2022 год в сумме 515 775 790,49 рублей, в том числе налоговые и неналоговые доходы в сумме 182 985 000,00 рублей, и на 2023 год в сумме 510 380 673,79 </w:t>
      </w:r>
      <w:r>
        <w:rPr>
          <w:sz w:val="28"/>
          <w:szCs w:val="28"/>
        </w:rPr>
        <w:lastRenderedPageBreak/>
        <w:t>рублей, в том числе налоговые и неналоговые доходы в сумме 194 849 531,00 рублей;</w:t>
      </w:r>
    </w:p>
    <w:p w:rsidR="00066A92" w:rsidRDefault="00066A92" w:rsidP="00066A92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районного бюджета на 2022 год в сумме 515 775 790,49 рублей, в том числе условно утвержденные расходы в сумме 5 250 000,00 рублей и на 2023 год в сумме 510 380 673,79 рублей;</w:t>
      </w:r>
    </w:p>
    <w:p w:rsidR="00066A92" w:rsidRDefault="00066A92" w:rsidP="00066A92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объём межбюджетных трансфертов, получаемых из других бюджетов на 2021 год в сумме </w:t>
      </w:r>
      <w:r w:rsidR="00DD4163">
        <w:rPr>
          <w:sz w:val="28"/>
          <w:szCs w:val="28"/>
        </w:rPr>
        <w:t>399 554 495,88</w:t>
      </w:r>
      <w:r>
        <w:rPr>
          <w:sz w:val="28"/>
          <w:szCs w:val="28"/>
        </w:rPr>
        <w:t xml:space="preserve"> рублей, на 2022 год в сумме 332 790 790,49 рублей, на 2023 год в сумме 315 531 142,79 рублей;</w:t>
      </w:r>
    </w:p>
    <w:p w:rsidR="00066A92" w:rsidRDefault="00066A92" w:rsidP="00066A92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объём межбюджетных трансфертов, предоставляемых другим бюджетам бюджетной системы Погарского район</w:t>
      </w:r>
      <w:r w:rsidR="00DD4163">
        <w:rPr>
          <w:sz w:val="28"/>
          <w:szCs w:val="28"/>
        </w:rPr>
        <w:t>а на 2021 год в сумме 27 711 462</w:t>
      </w:r>
      <w:r>
        <w:rPr>
          <w:sz w:val="28"/>
          <w:szCs w:val="28"/>
        </w:rPr>
        <w:t>,17 рублей, на 2022 год в сумме 16 148 879,00 рублей, на 2023 год в сумме 16 298 177,00 рублей.</w:t>
      </w:r>
    </w:p>
    <w:p w:rsidR="000D653B" w:rsidRDefault="000D653B" w:rsidP="00066A92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:rsidR="00066A92" w:rsidRDefault="000D653B" w:rsidP="00066A9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Инспектор</w:t>
      </w:r>
    </w:p>
    <w:p w:rsidR="00066A92" w:rsidRDefault="00066A92" w:rsidP="00066A9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                                                         </w:t>
      </w:r>
      <w:r w:rsidR="000D653B">
        <w:rPr>
          <w:b/>
          <w:sz w:val="28"/>
          <w:szCs w:val="28"/>
        </w:rPr>
        <w:t>Е.В. Масюк</w:t>
      </w:r>
    </w:p>
    <w:p w:rsidR="00066A92" w:rsidRPr="00BB512F" w:rsidRDefault="00066A92" w:rsidP="00066A9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Погарского района</w:t>
      </w:r>
    </w:p>
    <w:p w:rsidR="00B05678" w:rsidRDefault="00B05678"/>
    <w:sectPr w:rsidR="00B0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F"/>
    <w:rsid w:val="00047704"/>
    <w:rsid w:val="00066A92"/>
    <w:rsid w:val="000D653B"/>
    <w:rsid w:val="00185FB7"/>
    <w:rsid w:val="008B7F5F"/>
    <w:rsid w:val="00B05678"/>
    <w:rsid w:val="00D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94FC-5C8B-4183-97BC-4901132D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2021-10-04T09:39:00Z</dcterms:created>
  <dcterms:modified xsi:type="dcterms:W3CDTF">2021-10-04T09:39:00Z</dcterms:modified>
</cp:coreProperties>
</file>