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БРЯНСКАЯ ОБЛАСТЬ</w:t>
      </w:r>
    </w:p>
    <w:p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Контрольно-счётная палата Погарского района</w:t>
      </w:r>
    </w:p>
    <w:p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243550 Брянская область, 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 Погар, ул. Ленина, д.1</w:t>
      </w:r>
    </w:p>
    <w:p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тел:(848349) 2-11-37</w:t>
      </w:r>
    </w:p>
    <w:p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Заключение Контрольно-счётной палаты Погарского района по результатам внешней проверки годового отчёта об исполнении бюджета Погарского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муниципального 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района за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год.</w:t>
      </w:r>
    </w:p>
    <w:p w:rsidR="007454DE" w:rsidRPr="007454DE" w:rsidRDefault="009561BF" w:rsidP="007454D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20</w:t>
      </w:r>
      <w:r w:rsidR="00AC415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41807">
        <w:rPr>
          <w:rFonts w:ascii="Times New Roman" w:eastAsia="Times New Roman" w:hAnsi="Times New Roman" w:cs="Times New Roman"/>
          <w:b/>
          <w:sz w:val="28"/>
          <w:lang w:eastAsia="ru-RU"/>
        </w:rPr>
        <w:t>апреля</w:t>
      </w:r>
      <w:r w:rsid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2021</w:t>
      </w:r>
      <w:r w:rsidR="00A643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                 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</w:t>
      </w:r>
      <w:proofErr w:type="spellStart"/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пгт</w:t>
      </w:r>
      <w:proofErr w:type="spellEnd"/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Погар                                    </w:t>
      </w:r>
    </w:p>
    <w:p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Основание для проведения внешней проверки: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Заключение Контрольно-счётной палаты Погарского района (далее Контрольно-счётная палата) на отчёт администрации Погарского района об исполнении районного бюджета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 подготовлено в соответствии со статьей 264 Бюджетного кодекса Российской Федерации, Положением «О Контрольно-счетной палате Погарского района», утвержденного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решением р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айонного Совета народных депутатов от 15.12.2011 г. №4-249,  пунктом 1.3.1. плана  работы Контрольно-счетной палаты Погарского </w:t>
      </w:r>
      <w:r>
        <w:rPr>
          <w:rFonts w:ascii="Times New Roman" w:eastAsia="Times New Roman" w:hAnsi="Times New Roman" w:cs="Times New Roman"/>
          <w:sz w:val="28"/>
          <w:lang w:eastAsia="ru-RU"/>
        </w:rPr>
        <w:t>района на 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утвержденного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решением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Коллегии  Контрольно-счет</w:t>
      </w:r>
      <w:r>
        <w:rPr>
          <w:rFonts w:ascii="Times New Roman" w:eastAsia="Times New Roman" w:hAnsi="Times New Roman" w:cs="Times New Roman"/>
          <w:sz w:val="28"/>
          <w:lang w:eastAsia="ru-RU"/>
        </w:rPr>
        <w:t>ной палаты Погарского района №19-рк  от  29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года, Стандартом  внешнего муниципального  финансового контроля   СВМФК 103 «Последующий контроль исполнения бюджета Погарского района», утвержденного решением  Коллегии Контрольно-счетной палаты Погарского района  №13  от 26.04.2012 года, Приказ председателя Контрольно-счётной палаты</w:t>
      </w:r>
      <w:r w:rsidR="00541807">
        <w:rPr>
          <w:rFonts w:ascii="Times New Roman" w:eastAsia="Times New Roman" w:hAnsi="Times New Roman" w:cs="Times New Roman"/>
          <w:sz w:val="28"/>
          <w:lang w:eastAsia="ru-RU"/>
        </w:rPr>
        <w:t xml:space="preserve"> Погарского района от 01.04</w:t>
      </w:r>
      <w:r>
        <w:rPr>
          <w:rFonts w:ascii="Times New Roman" w:eastAsia="Times New Roman" w:hAnsi="Times New Roman" w:cs="Times New Roman"/>
          <w:sz w:val="28"/>
          <w:lang w:eastAsia="ru-RU"/>
        </w:rPr>
        <w:t>.2021</w:t>
      </w:r>
      <w:r w:rsidR="00541807">
        <w:rPr>
          <w:rFonts w:ascii="Times New Roman" w:eastAsia="Times New Roman" w:hAnsi="Times New Roman" w:cs="Times New Roman"/>
          <w:sz w:val="28"/>
          <w:lang w:eastAsia="ru-RU"/>
        </w:rPr>
        <w:t xml:space="preserve"> года №3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Предмет экспертно-аналитического мероприятия: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бюджетная отчётность и иные документы, содержащие информацию об исполнении бюджета Погарского района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Объект экспертно-аналитического мероприятия: </w:t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Администрация Погарского района, финансовое управление администрации Погарского района, комитет по управлению муниципальным имуществом администрации Погарского района, управление образования администрации Погарского района, Погарский районный Совет народных депутатов, Контрольно-счётная палата Погарского района.</w:t>
      </w:r>
    </w:p>
    <w:p w:rsidR="007454DE" w:rsidRPr="007454DE" w:rsidRDefault="007454DE" w:rsidP="007454DE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Цели экспертно-аналитического мероприятия:</w:t>
      </w:r>
    </w:p>
    <w:p w:rsidR="007454DE" w:rsidRPr="007454DE" w:rsidRDefault="007454DE" w:rsidP="00271F3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1. Оценить основные показатели бюджетной отчётности.</w:t>
      </w:r>
    </w:p>
    <w:p w:rsidR="007454DE" w:rsidRPr="007454DE" w:rsidRDefault="007454DE" w:rsidP="00271F3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 Определить полноту бюджетной отчётности, ее соответствие требованиям нормативных правовых актов.</w:t>
      </w:r>
    </w:p>
    <w:p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3. Определить соблюдение органами местного самоуправления мер, установленных статьей 136 Бюджетного кодекса РФ.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Исследуемый период: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Срок проведения экспертно-аналитического мероприятия: 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271F38">
        <w:rPr>
          <w:rFonts w:ascii="Times New Roman" w:eastAsia="Times New Roman" w:hAnsi="Times New Roman" w:cs="Times New Roman"/>
          <w:sz w:val="28"/>
          <w:lang w:eastAsia="ru-RU"/>
        </w:rPr>
        <w:t>01 апреля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2021 года по 30 апреля 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271F3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Результаты экспертно-аналитического мероприятия: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Погарский район наделён статусом муниципального района в соответствии с законом Брянской области от 09.03.2005 года №3-3 «О наделении муниципальных образований городского округа, муниципального района, городского поселения, сельского поселения, установлении границ муниципальных образований в Брянской области».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Бюджетная политика в районе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условиями и в условиях жёсткой экономии бюджетных средств.</w:t>
      </w:r>
    </w:p>
    <w:p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Итогами проведения бюджетной политики на территории района, стали:</w:t>
      </w:r>
    </w:p>
    <w:p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работа по мобилизации в бюджет района налоговых, неналоговых доходов, а также безвозмездных поступлений из вышестоящих бюджетов</w:t>
      </w:r>
    </w:p>
    <w:p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реструктуризация бюджетной сети при сохранении объёмов предоставляемых услуг</w:t>
      </w:r>
    </w:p>
    <w:p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реализация режима экономии бюджетных средств, оптимизация расходов районного бюджета</w:t>
      </w:r>
    </w:p>
    <w:p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исполнение Майских Указов Президента РФ.</w:t>
      </w:r>
    </w:p>
    <w:p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ходе настоящего экспертного мероприятия Контрольно-счётной палатой будет дана оценка уровня проведённых мероприятий по исполнению районного бюджета.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Анализ исполнения бюджета Погарского района по доходам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Бюджет Погарского района на </w:t>
      </w:r>
      <w:r w:rsidR="00FC4476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первоначально был утвержден решением Погарского районного </w:t>
      </w:r>
      <w:r w:rsidR="00A65C1B">
        <w:rPr>
          <w:rFonts w:ascii="Times New Roman" w:eastAsia="Times New Roman" w:hAnsi="Times New Roman" w:cs="Times New Roman"/>
          <w:sz w:val="28"/>
          <w:lang w:eastAsia="ru-RU"/>
        </w:rPr>
        <w:t>Совета народных депутатов №6-41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A65C1B">
        <w:rPr>
          <w:rFonts w:ascii="Times New Roman" w:eastAsia="Times New Roman" w:hAnsi="Times New Roman" w:cs="Times New Roman"/>
          <w:sz w:val="28"/>
          <w:lang w:eastAsia="ru-RU"/>
        </w:rPr>
        <w:lastRenderedPageBreak/>
        <w:t>06.12.2019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 по доходам в сумме </w:t>
      </w:r>
      <w:r w:rsidR="00A65C1B">
        <w:rPr>
          <w:rFonts w:ascii="Times New Roman" w:eastAsia="Times New Roman" w:hAnsi="Times New Roman" w:cs="Times New Roman"/>
          <w:sz w:val="28"/>
          <w:lang w:eastAsia="ru-RU"/>
        </w:rPr>
        <w:t>498 551,477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в течение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 года в бюджет района 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раз вносились изменения и дополнения в порядке, установленном муниципальными правовыми актами. С учётом внесенных изменений и дополнений в бюджет Погарского района уточнённый план по доходам составил </w:t>
      </w:r>
      <w:r w:rsidR="008A116C">
        <w:rPr>
          <w:rFonts w:ascii="Times New Roman" w:hAnsi="Times New Roman" w:cs="Times New Roman"/>
          <w:sz w:val="28"/>
          <w:szCs w:val="28"/>
        </w:rPr>
        <w:t>534 294,629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утверждено решением районного С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>овета народных депутатов № 6-136 от 29.12.2020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в рай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>онный бюджет поступило 169 041,329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налоговых и неналоговых доходов.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Доходная часть районного бюджета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>году исполнена в сумме 530 932,150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на </w:t>
      </w:r>
      <w:r w:rsidR="00E7015C" w:rsidRPr="00E7015C">
        <w:rPr>
          <w:rFonts w:ascii="Times New Roman" w:eastAsia="Times New Roman" w:hAnsi="Times New Roman" w:cs="Times New Roman"/>
          <w:sz w:val="28"/>
          <w:lang w:eastAsia="ru-RU"/>
        </w:rPr>
        <w:t>17 972,6</w:t>
      </w:r>
      <w:r w:rsidR="008A116C" w:rsidRPr="008A116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тыс. руб. или </w:t>
      </w:r>
      <w:r w:rsidRPr="00E7015C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E7015C" w:rsidRPr="00E7015C">
        <w:rPr>
          <w:rFonts w:ascii="Times New Roman" w:eastAsia="Times New Roman" w:hAnsi="Times New Roman" w:cs="Times New Roman"/>
          <w:sz w:val="28"/>
          <w:lang w:eastAsia="ru-RU"/>
        </w:rPr>
        <w:t>3,5</w:t>
      </w:r>
      <w:r w:rsidRPr="00E7015C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>выше,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годом. Удельный вес собственных доходов в доходной части бюджета составляет </w:t>
      </w:r>
      <w:r w:rsidR="00E7015C">
        <w:rPr>
          <w:rFonts w:ascii="Times New Roman" w:eastAsia="Times New Roman" w:hAnsi="Times New Roman" w:cs="Times New Roman"/>
          <w:sz w:val="28"/>
          <w:lang w:eastAsia="ru-RU"/>
        </w:rPr>
        <w:t>31,8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безвозмездные поступления </w:t>
      </w:r>
      <w:r w:rsidR="00E7015C">
        <w:rPr>
          <w:rFonts w:ascii="Times New Roman" w:eastAsia="Times New Roman" w:hAnsi="Times New Roman" w:cs="Times New Roman"/>
          <w:sz w:val="28"/>
          <w:lang w:eastAsia="ru-RU"/>
        </w:rPr>
        <w:t>68,2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о чем свидетельствует следующая таблица:</w:t>
      </w:r>
    </w:p>
    <w:p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(тыс. руб.)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1276"/>
        <w:gridCol w:w="1276"/>
        <w:gridCol w:w="1275"/>
        <w:gridCol w:w="993"/>
        <w:gridCol w:w="992"/>
        <w:gridCol w:w="843"/>
      </w:tblGrid>
      <w:tr w:rsidR="007454DE" w:rsidRPr="007454DE" w:rsidTr="007454DE"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:rsidR="007454DE" w:rsidRPr="007454DE" w:rsidRDefault="008A116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Исполнение плана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7B031F">
              <w:rPr>
                <w:rFonts w:ascii="Times New Roman" w:eastAsia="Times New Roman" w:hAnsi="Times New Roman" w:cs="Times New Roman"/>
                <w:lang w:eastAsia="ru-RU"/>
              </w:rPr>
              <w:t xml:space="preserve"> года к 2019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доходов в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454DE" w:rsidRPr="007454DE" w:rsidTr="007454DE"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Уточнённый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Фактическое исполнение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 районного бюджета 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lang w:eastAsia="ru-RU"/>
              </w:rPr>
              <w:t>151 529,3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BA4F80" w:rsidRPr="007454DE" w:rsidRDefault="00BA4F80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161 168,5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BA4F80" w:rsidRPr="007454DE" w:rsidRDefault="00BA4F80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169 041,3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1656BD" w:rsidRPr="007454DE" w:rsidRDefault="009B257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743E84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111,6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E21A8" w:rsidRPr="007454DE" w:rsidRDefault="00E71EAD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31,8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117 063,6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127 838,6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135 245,5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9B257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25,5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ГСМ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13 989,2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14 674,0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13 103,5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2,5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9 300,3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9013E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6 980,0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9013E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7 135,</w:t>
            </w:r>
            <w:r w:rsidR="009A0F9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41464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43E84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76,7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73A16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</w:t>
            </w:r>
          </w:p>
        </w:tc>
      </w:tr>
      <w:tr w:rsidR="008A116C" w:rsidRPr="007454DE" w:rsidTr="007454D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2 027,9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9013E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3 236,7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9013E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3 276,6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41464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43E84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161,6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73A16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0,6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Налог взымаемый в связи с патентной системой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9013E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9013E" w:rsidRPr="007454D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41464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43E84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72,4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73A16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Государственная  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1 956,7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0B7C4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1 860,0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0B7C4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0,4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3 349,2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B7C46" w:rsidRPr="007454DE" w:rsidRDefault="007A536B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4 366,0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B7C46" w:rsidRPr="007454DE" w:rsidRDefault="007A536B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4 836,</w:t>
            </w:r>
            <w:r w:rsidR="0009065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41464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43E84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144,4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73A16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0,9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525,8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B7C46" w:rsidRPr="007454DE" w:rsidRDefault="000B7C4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B7C46" w:rsidRPr="007454DE" w:rsidRDefault="000B7C4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41464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43E84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73A16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использования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CA762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090650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продажи      земельных участков и реализации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1 674,4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0182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400,0</w:t>
            </w:r>
          </w:p>
          <w:p w:rsidR="00E10182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0182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41464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4,3 раза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43E84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73A16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Штрафы, санкции,     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1 181,1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844,6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170C9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AB67BD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170C9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AB67BD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2,5 раза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lang w:eastAsia="ru-RU"/>
              </w:rPr>
              <w:t>361 430,2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373 126,1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361 890,8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C77370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B031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68,2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82 589,4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80 633,9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80 633,9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C77370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B031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15,2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40 568,0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15 256,7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14 087,3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C77370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B031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2,7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222 601,2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247 934,1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240 282,7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C77370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B031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107,9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45,3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15 732,2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29 301,4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26 886,9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74D2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B031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170,9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5,0</w:t>
            </w:r>
          </w:p>
        </w:tc>
      </w:tr>
      <w:tr w:rsidR="008A116C" w:rsidRPr="007454DE" w:rsidTr="007454D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Возврат остатков,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-60,6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4759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4759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4759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4759" w:rsidRPr="007454DE" w:rsidRDefault="00EE475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74D25" w:rsidRDefault="00874D2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74D25" w:rsidRPr="007454DE" w:rsidRDefault="00874D2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B031F" w:rsidRDefault="007B031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B031F" w:rsidRPr="007454DE" w:rsidRDefault="007B031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73A16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73A16" w:rsidRPr="007454DE" w:rsidRDefault="00373A1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lang w:eastAsia="ru-RU"/>
              </w:rPr>
              <w:t>512 959,5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9A5" w:rsidRPr="007454DE" w:rsidRDefault="001536AA" w:rsidP="001536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534 294,6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1536AA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530 932,1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43E8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B031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16C" w:rsidRPr="007454DE" w:rsidRDefault="007B031F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4DE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7454DE" w:rsidRPr="007454DE" w:rsidRDefault="007454DE" w:rsidP="0053401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муниципального района собственных </w:t>
      </w:r>
      <w:r w:rsidR="00D54947">
        <w:rPr>
          <w:rFonts w:ascii="Times New Roman" w:eastAsia="Times New Roman" w:hAnsi="Times New Roman" w:cs="Times New Roman"/>
          <w:sz w:val="28"/>
          <w:lang w:eastAsia="ru-RU"/>
        </w:rPr>
        <w:t xml:space="preserve">доходов при плане </w:t>
      </w:r>
      <w:r w:rsidR="00CF0E3C">
        <w:rPr>
          <w:rFonts w:ascii="Times New Roman" w:eastAsia="Times New Roman" w:hAnsi="Times New Roman" w:cs="Times New Roman"/>
          <w:sz w:val="28"/>
          <w:lang w:eastAsia="ru-RU"/>
        </w:rPr>
        <w:t>161 168,5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</w:t>
      </w:r>
      <w:r w:rsidR="00CF0E3C">
        <w:rPr>
          <w:rFonts w:ascii="Times New Roman" w:eastAsia="Times New Roman" w:hAnsi="Times New Roman" w:cs="Times New Roman"/>
          <w:sz w:val="28"/>
          <w:lang w:eastAsia="ru-RU"/>
        </w:rPr>
        <w:t>. фактически поступило 169 041,3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У</w:t>
      </w:r>
      <w:r w:rsidR="00CF2B00">
        <w:rPr>
          <w:rFonts w:ascii="Times New Roman" w:eastAsia="Times New Roman" w:hAnsi="Times New Roman" w:cs="Times New Roman"/>
          <w:sz w:val="28"/>
          <w:lang w:eastAsia="ru-RU"/>
        </w:rPr>
        <w:t>точненный план выполнен на 104,9%.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 собственн</w:t>
      </w:r>
      <w:r w:rsidR="00CF2B00">
        <w:rPr>
          <w:rFonts w:ascii="Times New Roman" w:eastAsia="Times New Roman" w:hAnsi="Times New Roman" w:cs="Times New Roman"/>
          <w:sz w:val="28"/>
          <w:lang w:eastAsia="ru-RU"/>
        </w:rPr>
        <w:t xml:space="preserve">ых доходов поступило на </w:t>
      </w:r>
      <w:r w:rsidR="00FD26A0">
        <w:rPr>
          <w:rFonts w:ascii="Times New Roman" w:eastAsia="Times New Roman" w:hAnsi="Times New Roman" w:cs="Times New Roman"/>
          <w:sz w:val="28"/>
          <w:lang w:eastAsia="ru-RU"/>
        </w:rPr>
        <w:t xml:space="preserve">17 512,0 </w:t>
      </w:r>
      <w:proofErr w:type="spellStart"/>
      <w:r w:rsidR="00FD26A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FD26A0">
        <w:rPr>
          <w:rFonts w:ascii="Times New Roman" w:eastAsia="Times New Roman" w:hAnsi="Times New Roman" w:cs="Times New Roman"/>
          <w:sz w:val="28"/>
          <w:lang w:eastAsia="ru-RU"/>
        </w:rPr>
        <w:t>. или на 11,6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больше.</w:t>
      </w:r>
    </w:p>
    <w:p w:rsidR="007454DE" w:rsidRPr="007454DE" w:rsidRDefault="007454DE" w:rsidP="00F064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Структура </w:t>
      </w:r>
      <w:r w:rsidR="00F06413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доходов районного бюджета характеризуется следующей таблице: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417"/>
        <w:gridCol w:w="851"/>
        <w:gridCol w:w="1276"/>
        <w:gridCol w:w="850"/>
        <w:gridCol w:w="1276"/>
        <w:gridCol w:w="850"/>
      </w:tblGrid>
      <w:tr w:rsidR="007454DE" w:rsidRPr="007454DE" w:rsidTr="007454DE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FD26A0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5A41FF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Структура в % за 2018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  <w:p w:rsidR="007454DE" w:rsidRPr="007454DE" w:rsidRDefault="007454DE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FD26A0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  <w:p w:rsidR="007454DE" w:rsidRPr="007454DE" w:rsidRDefault="007454DE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5A41FF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2019 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</w:tr>
      <w:tr w:rsidR="00FD26A0" w:rsidRPr="007454DE" w:rsidTr="007454DE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 доходы –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135 320,7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151 529,3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169 041,3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102 578,5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117 063,6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135 245,5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акцизного сбора на ГСМ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13 989,2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Единый налог на вменённый доход для 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9 300,3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7 135,5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32F6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7C32F6" w:rsidRPr="007454DE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Единый сельхозналог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2 027,9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3 276,6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Налог, взымаемый в связи с патентной системой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Pr="007454DE" w:rsidRDefault="00E674B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32F6" w:rsidRPr="007454DE" w:rsidRDefault="007C32F6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3 349,2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4 836,5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32F6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32F6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32F6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32F6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32F6" w:rsidRDefault="007C32F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32F6" w:rsidRPr="007454DE" w:rsidRDefault="0041387A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387A" w:rsidRDefault="0041387A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387A" w:rsidRDefault="0041387A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387A" w:rsidRPr="007454DE" w:rsidRDefault="0041387A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 и реализации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1 674,4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41387A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387A" w:rsidRPr="007454DE" w:rsidRDefault="0041387A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4B4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387A" w:rsidRPr="007454DE" w:rsidRDefault="0041387A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41387A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D26A0" w:rsidRPr="007454DE" w:rsidTr="007454DE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FD26A0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E674B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6A0" w:rsidRPr="007454DE" w:rsidRDefault="0041387A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4DE" w:rsidRPr="007454DE" w:rsidRDefault="007454DE" w:rsidP="00C028C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Структура 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доходов районного бюджета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показывает, что наибольший удельный вес в ней занимает, как и в предшествующие годы, налог на доходы физических лиц – 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80,0%, что на 2,7% 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Поступление налога на доходы физических лиц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сложилось на 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>18 181,9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больше, чем в прошлом году. </w:t>
      </w:r>
    </w:p>
    <w:p w:rsidR="007454DE" w:rsidRPr="007454DE" w:rsidRDefault="007454DE" w:rsidP="007454D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815284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На втором месте в структуре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собственных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доходов бюджета занимают доходы от упл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>аты акцизного сбора на ГСМ – 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год поступило 13 103,5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уточнённый план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 14 674,0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>тыс. рублей, что составило 89,3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выполнения плановых назначений.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15284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Третье место по удельному весу в структуре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собственных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доходов занимает едины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>й налог на вмененный доход – 4,2% или 7 135,5 тыс. рублей, что на 2 164,8 тыс. рублей или на 23,3% ниже, чем в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E84FE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бюджет Погарского района п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>оступило 169 041,3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>обственных доходов, что на 7 872,8 тыс. рублей или на 4,9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выше пл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>анового показателя и на 17 512,0 тыс. рублей или на 11,6% 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Динамика поступлений в районный бюджет собственных доходов представлена в следующей таблице: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648"/>
        <w:gridCol w:w="2192"/>
        <w:gridCol w:w="2283"/>
        <w:gridCol w:w="1867"/>
      </w:tblGrid>
      <w:tr w:rsidR="007454DE" w:rsidRPr="007454DE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Периоды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(годы)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Налоговые и неналоговые 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– всего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(тыс. руб.)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Темп роста  к  предыдущему периоду  (%)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+ / -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  предыдущему</w:t>
            </w:r>
            <w:proofErr w:type="gramEnd"/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периоду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Удельный вес собственных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доходов в районном бюджете %</w:t>
            </w:r>
          </w:p>
        </w:tc>
      </w:tr>
      <w:tr w:rsidR="007454DE" w:rsidRPr="007454DE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128 136,6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109,9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11 582,2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26,8</w:t>
            </w:r>
          </w:p>
        </w:tc>
      </w:tr>
      <w:tr w:rsidR="007454DE" w:rsidRPr="007454DE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133 153,9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5 017,3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25,9</w:t>
            </w:r>
          </w:p>
        </w:tc>
      </w:tr>
      <w:tr w:rsidR="007454DE" w:rsidRPr="007454DE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135 320,7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2 166,8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28,3</w:t>
            </w:r>
          </w:p>
        </w:tc>
      </w:tr>
      <w:tr w:rsidR="007454DE" w:rsidRPr="007454DE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E84FE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151 529,3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112,0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16 208,6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29,5</w:t>
            </w:r>
          </w:p>
        </w:tc>
      </w:tr>
      <w:tr w:rsidR="00E84FEC" w:rsidRPr="007454DE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FEC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169 041,3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111,6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17 512,0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31,8</w:t>
            </w:r>
          </w:p>
        </w:tc>
      </w:tr>
    </w:tbl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7141D666" wp14:editId="05CAF953">
            <wp:extent cx="6071906" cy="1751177"/>
            <wp:effectExtent l="0" t="0" r="508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327D42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Доходы районного бюджета формируются за счет налоговых и неналоговых доходов. На протяжении ряда лет основными налоговыми доходами, формирующими районный бюджет, являлись: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Налог на доходы физических лиц;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Доходы от уплаты акцизного сбора на ГСМ с 2015 года;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Единый налог на вменённый доход для отдельных видов деятельности;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Госпошлина;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Единый сельскохозяйственный налог;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К неналоговым доходам, формирующим районный бюджет относятся следующие платежи и сборы: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Доходы, получаемые в виде арендной платы за земельные участки;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 от сдачи в аренду имущества;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Плата за негативное воздействие на окружающую среду;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Штрафы, санкции, возмещение ущерба: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 от продажи земельных участков;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-Прочие (доходы от реализации активов и имущества, прочие местные сборы).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Поступление налоговых и неналоговых доходов в абсолютных величинах и их удельный вес в общем поступлении собственных налоговых и неналоговых доходов представлено в следующей таблице:      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proofErr w:type="gram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proofErr w:type="gram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627"/>
        <w:gridCol w:w="1581"/>
        <w:gridCol w:w="1583"/>
        <w:gridCol w:w="1574"/>
        <w:gridCol w:w="1584"/>
      </w:tblGrid>
      <w:tr w:rsidR="007454DE" w:rsidRPr="007454DE" w:rsidTr="007454DE"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(годы)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 (всего)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Неналоговые доходы</w:t>
            </w:r>
          </w:p>
        </w:tc>
      </w:tr>
      <w:tr w:rsidR="007454DE" w:rsidRPr="007454DE" w:rsidTr="007454DE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тыс. руб.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%</w:t>
            </w:r>
          </w:p>
        </w:tc>
      </w:tr>
      <w:tr w:rsidR="007454DE" w:rsidRPr="007454DE" w:rsidTr="007454D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100 247,0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94 265,0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5 982,0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6,0</w:t>
            </w:r>
          </w:p>
        </w:tc>
      </w:tr>
      <w:tr w:rsidR="007454DE" w:rsidRPr="007454DE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116 554,4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110 410,5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6 143,9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5,3</w:t>
            </w:r>
          </w:p>
        </w:tc>
      </w:tr>
      <w:tr w:rsidR="007454DE" w:rsidRPr="007454DE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128 136,6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122 107,1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6 029,5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4,7</w:t>
            </w:r>
          </w:p>
        </w:tc>
      </w:tr>
      <w:tr w:rsidR="007454DE" w:rsidRPr="007454DE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133 153,9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128 365,0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4 788,9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3,6</w:t>
            </w:r>
          </w:p>
        </w:tc>
      </w:tr>
      <w:tr w:rsidR="007454DE" w:rsidRPr="007454DE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135 320,7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128 050,1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7 270,6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5,4</w:t>
            </w:r>
          </w:p>
        </w:tc>
      </w:tr>
      <w:tr w:rsidR="007454DE" w:rsidRPr="007454DE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FB5C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151 529,3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144 498,4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7 030,9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4,6</w:t>
            </w:r>
          </w:p>
        </w:tc>
      </w:tr>
      <w:tr w:rsidR="00327D42" w:rsidRPr="007454DE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D42" w:rsidRDefault="00327D4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D42" w:rsidRPr="007454DE" w:rsidRDefault="00327D4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169 041,3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160 830,5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8 210,8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4,9</w:t>
            </w:r>
          </w:p>
        </w:tc>
      </w:tr>
    </w:tbl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56CB98C7" wp14:editId="5BB0E9E6">
            <wp:extent cx="6085205" cy="1962785"/>
            <wp:effectExtent l="0" t="0" r="10795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E42C0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протяжении ряда лет в структуре собственных доходов районного бюджета наибольший удельный вес занимает налог на доходы физических </w:t>
      </w:r>
      <w:r w:rsidR="00F6605F">
        <w:rPr>
          <w:rFonts w:ascii="Times New Roman" w:eastAsia="Times New Roman" w:hAnsi="Times New Roman" w:cs="Times New Roman"/>
          <w:sz w:val="28"/>
          <w:lang w:eastAsia="ru-RU"/>
        </w:rPr>
        <w:t>лиц от 61,8% в 2007 году до 80,0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:rsidR="007454DE" w:rsidRPr="007454DE" w:rsidRDefault="007454DE" w:rsidP="00DD3862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Налог на доходы физических лиц 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="00FA1555">
        <w:rPr>
          <w:rFonts w:ascii="Times New Roman" w:eastAsia="Times New Roman" w:hAnsi="Times New Roman" w:cs="Times New Roman"/>
          <w:sz w:val="28"/>
          <w:lang w:eastAsia="ru-RU"/>
        </w:rPr>
        <w:t>исполнен в объёме 135 245,5 тыс. рублей или 105,8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показателя уточнённого плана по доходам, установленного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 Поступление налога на доходы физических лиц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FA1555">
        <w:rPr>
          <w:rFonts w:ascii="Times New Roman" w:eastAsia="Times New Roman" w:hAnsi="Times New Roman" w:cs="Times New Roman"/>
          <w:sz w:val="28"/>
          <w:lang w:eastAsia="ru-RU"/>
        </w:rPr>
        <w:t xml:space="preserve"> году по сравнению с 2019 годом увеличилось на 18 181,9 тыс. рублей или на 15,5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В структуре налого</w:t>
      </w:r>
      <w:r w:rsidR="007C578D">
        <w:rPr>
          <w:rFonts w:ascii="Times New Roman" w:eastAsia="Times New Roman" w:hAnsi="Times New Roman" w:cs="Times New Roman"/>
          <w:sz w:val="28"/>
          <w:lang w:eastAsia="ru-RU"/>
        </w:rPr>
        <w:t>вых доходов НДФЛ составляет 84,1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</w:t>
      </w:r>
      <w:r w:rsidR="007C578D">
        <w:rPr>
          <w:rFonts w:ascii="Times New Roman" w:eastAsia="Times New Roman" w:hAnsi="Times New Roman" w:cs="Times New Roman"/>
          <w:sz w:val="28"/>
          <w:lang w:eastAsia="ru-RU"/>
        </w:rPr>
        <w:t>ных доходов НДФЛ составляет 80,0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DD386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НДФЛ за ряд лет в районный бюджет представлена в следующей таблице: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</w:t>
      </w:r>
    </w:p>
    <w:p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2084"/>
        <w:gridCol w:w="2105"/>
        <w:gridCol w:w="2105"/>
        <w:gridCol w:w="1558"/>
      </w:tblGrid>
      <w:tr w:rsidR="007454DE" w:rsidRPr="007454DE" w:rsidTr="007454D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(годы)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:rsidTr="007454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82 571,0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- 26 628,2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82,4</w:t>
            </w:r>
          </w:p>
        </w:tc>
      </w:tr>
      <w:tr w:rsidR="007454DE" w:rsidRPr="007454DE" w:rsidTr="007454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89 425,1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6 854,1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76,7</w:t>
            </w:r>
          </w:p>
        </w:tc>
      </w:tr>
      <w:tr w:rsidR="007454DE" w:rsidRPr="007454DE" w:rsidTr="007454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94 703,5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5 278,4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73,9</w:t>
            </w:r>
          </w:p>
        </w:tc>
      </w:tr>
      <w:tr w:rsidR="007454DE" w:rsidRPr="007454DE" w:rsidTr="007454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103 185,3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8 481,8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77,5</w:t>
            </w:r>
          </w:p>
        </w:tc>
      </w:tr>
      <w:tr w:rsidR="007454DE" w:rsidRPr="007454DE" w:rsidTr="007454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102 578,5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- 606,8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75,8</w:t>
            </w:r>
          </w:p>
        </w:tc>
      </w:tr>
      <w:tr w:rsidR="007454DE" w:rsidRPr="007454DE" w:rsidTr="007454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117 063,6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14 485,1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77,3</w:t>
            </w:r>
          </w:p>
        </w:tc>
      </w:tr>
      <w:tr w:rsidR="007C578D" w:rsidRPr="007454DE" w:rsidTr="007454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8D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135 245,5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8D" w:rsidRPr="007454DE" w:rsidRDefault="007C578D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18 181,9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80,0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2D0A1411" wp14:editId="76B09F26">
            <wp:extent cx="6154911" cy="1836484"/>
            <wp:effectExtent l="0" t="0" r="1778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EE2BF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На втором месте в структуре доходов бюджета занимают доходы от уплаты акцизов на дизельное топливо, на моторные масла для дизельных и карбюраторных (инжекторных) двигателей, на автомобильный бензин, на прямогонный бензин по установленным дифференцированным нормативам отчислений в местные бюджеты – 10,7%.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 от уплаты акцизного сбора на ГСМ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 бюджет района поступило 1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>3 103,5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lastRenderedPageBreak/>
        <w:t>89,3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885,7 тыс. рублей или на 6,3% ниже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данный вид налога занимает 9,7%, в структуре собственных д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>оходов удельный вес составил 8,2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7454DE" w:rsidRPr="007454DE" w:rsidRDefault="007454DE" w:rsidP="00DD386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Поступление доходов от уплаты ГСМ за 2015 –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представлена в следующей таблице: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407"/>
        <w:gridCol w:w="1984"/>
        <w:gridCol w:w="1841"/>
        <w:gridCol w:w="1701"/>
      </w:tblGrid>
      <w:tr w:rsidR="007454DE" w:rsidRPr="007454DE" w:rsidTr="007454DE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(годы)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от уплаты акцизов на </w:t>
            </w: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+ , - к предыдущему периоду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:rsidTr="007454DE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8 877,6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7,6</w:t>
            </w:r>
          </w:p>
        </w:tc>
      </w:tr>
      <w:tr w:rsidR="007454DE" w:rsidRPr="007454DE" w:rsidTr="007454DE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13 752,5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4 874,9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10,7</w:t>
            </w:r>
          </w:p>
        </w:tc>
      </w:tr>
      <w:tr w:rsidR="007454DE" w:rsidRPr="007454DE" w:rsidTr="007454DE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2017 год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11 446,0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- 2 306,5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8,6</w:t>
            </w:r>
          </w:p>
        </w:tc>
      </w:tr>
      <w:tr w:rsidR="007454DE" w:rsidRPr="007454DE" w:rsidTr="007454DE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13 015,7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1 569,7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9,6</w:t>
            </w:r>
          </w:p>
        </w:tc>
      </w:tr>
      <w:tr w:rsidR="007454DE" w:rsidRPr="007454DE" w:rsidTr="007454DE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13 989,2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9,2</w:t>
            </w:r>
          </w:p>
        </w:tc>
      </w:tr>
      <w:tr w:rsidR="00EE2BF4" w:rsidRPr="007454DE" w:rsidTr="007454DE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BF4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BF4" w:rsidRPr="007454DE" w:rsidRDefault="00EE2BF4" w:rsidP="00EE2B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13 103,5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BF4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BF4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BF4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7,8</w:t>
            </w:r>
          </w:p>
        </w:tc>
      </w:tr>
    </w:tbl>
    <w:p w:rsidR="00E1087F" w:rsidRDefault="00E1087F" w:rsidP="00687A03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5D2849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Единого налога на вменённый доход для отдельных видов деятельности 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 бюдже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>т района поступило 7 135,5 тыс. рублей или 102,2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 xml:space="preserve"> год, что на 2 164,8 тыс. рублей или на 23,3% ниже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структур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>е налоговых доходов составил 4,4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объёме собственных доходов удельный вес с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>оставил 4,2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Снижение обусловлено сокращением плательщиков данного налога.</w:t>
      </w:r>
    </w:p>
    <w:p w:rsidR="007454DE" w:rsidRPr="007454DE" w:rsidRDefault="007454DE" w:rsidP="007454D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единого налога на вменный доход представлена в следующей таблице:</w:t>
      </w:r>
    </w:p>
    <w:p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1754"/>
        <w:gridCol w:w="1815"/>
        <w:gridCol w:w="1824"/>
        <w:gridCol w:w="1668"/>
      </w:tblGrid>
      <w:tr w:rsidR="007454DE" w:rsidRPr="007454DE" w:rsidTr="007454DE">
        <w:trPr>
          <w:trHeight w:val="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  (год)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Единый налог на вмененный доход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:rsidTr="007454DE">
        <w:trPr>
          <w:trHeight w:val="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10 697,8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1 390,7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10,7</w:t>
            </w:r>
          </w:p>
        </w:tc>
      </w:tr>
      <w:tr w:rsidR="007454DE" w:rsidRPr="007454DE" w:rsidTr="007454DE">
        <w:trPr>
          <w:trHeight w:val="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10 947,1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249,3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9,4</w:t>
            </w:r>
          </w:p>
        </w:tc>
      </w:tr>
      <w:tr w:rsidR="007454DE" w:rsidRPr="007454DE" w:rsidTr="007454D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11 441,5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494,4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8,9</w:t>
            </w:r>
          </w:p>
        </w:tc>
      </w:tr>
      <w:tr w:rsidR="007454DE" w:rsidRPr="007454DE" w:rsidTr="007454D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11 179,4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- 262,1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8,4</w:t>
            </w:r>
          </w:p>
        </w:tc>
      </w:tr>
      <w:tr w:rsidR="007454DE" w:rsidRPr="007454DE" w:rsidTr="007454D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9 949,8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- 1 229,6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7,4</w:t>
            </w:r>
          </w:p>
        </w:tc>
      </w:tr>
      <w:tr w:rsidR="007454DE" w:rsidRPr="007454DE" w:rsidTr="007454D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687A0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9 300,3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649,5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6,1</w:t>
            </w:r>
          </w:p>
        </w:tc>
      </w:tr>
      <w:tr w:rsidR="00687A03" w:rsidRPr="007454DE" w:rsidTr="007454D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3" w:rsidRDefault="00687A0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3" w:rsidRPr="007454DE" w:rsidRDefault="006F1AC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7 135,5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3" w:rsidRPr="007454DE" w:rsidRDefault="006F1AC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3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6F1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2 164,8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3" w:rsidRPr="007454DE" w:rsidRDefault="006F1AC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4,2</w:t>
            </w:r>
          </w:p>
        </w:tc>
      </w:tr>
    </w:tbl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1F89203A" wp14:editId="6AA6054B">
            <wp:extent cx="6119495" cy="1398270"/>
            <wp:effectExtent l="0" t="0" r="1460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54DE" w:rsidRPr="007454DE" w:rsidRDefault="007454DE" w:rsidP="006F1AC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Единого сельскохозяйственного налога 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бюджет района поступило 3 276,6 тыс. рублей или 101,2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показателя, что на 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>1 248,7 тыс. рублей или на 61,6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удельный вес ед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>иного сельхозналога составил 2,0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удельный вес в объёме 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>собственных доходов составил 1,9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7454DE" w:rsidRPr="007454DE" w:rsidRDefault="007454DE" w:rsidP="007454D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2723"/>
        <w:gridCol w:w="1844"/>
        <w:gridCol w:w="1844"/>
        <w:gridCol w:w="1549"/>
      </w:tblGrid>
      <w:tr w:rsidR="007454DE" w:rsidRPr="007454DE" w:rsidTr="007454DE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Период (год)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+, - к предыдущему периоду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:rsidTr="007454DE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- 82,8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7454DE" w:rsidRPr="007454DE" w:rsidTr="007454DE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7454DE" w:rsidRPr="007454DE" w:rsidTr="007454DE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3,4 раза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7454DE" w:rsidRPr="007454DE" w:rsidTr="007454DE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0,7</w:t>
            </w:r>
          </w:p>
        </w:tc>
      </w:tr>
      <w:tr w:rsidR="007454DE" w:rsidRPr="007454DE" w:rsidTr="007454DE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0,6</w:t>
            </w:r>
          </w:p>
        </w:tc>
      </w:tr>
      <w:tr w:rsidR="007454DE" w:rsidRPr="007454DE" w:rsidTr="007454DE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925CC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2 027,9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2,6 раза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925CCD" w:rsidRPr="007454DE" w:rsidTr="007454DE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CD" w:rsidRDefault="00925CC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3 276,6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1,9</w:t>
            </w:r>
          </w:p>
        </w:tc>
      </w:tr>
    </w:tbl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7E25FF3C" wp14:editId="12BD9DB5">
            <wp:extent cx="5898524" cy="1635483"/>
            <wp:effectExtent l="0" t="0" r="6985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</w:p>
    <w:p w:rsidR="007454DE" w:rsidRPr="007454DE" w:rsidRDefault="007454DE" w:rsidP="00A807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Государственная пошлина за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>района поступила в сумме 1 953,0 тыс. рублей или 105,0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год, что на 3,7 тыс. рублей или на 0,2% ниже факта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объём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>е налоговых доходов составил 1,2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>ьный вес госпошлины составил 1,2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7454DE" w:rsidRPr="007454DE" w:rsidRDefault="007454DE" w:rsidP="00A807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Динамика поступления госпошлины в районный бюджет за ряд лет представлена в следующей таблице:   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884"/>
        <w:gridCol w:w="2098"/>
        <w:gridCol w:w="2096"/>
        <w:gridCol w:w="1939"/>
      </w:tblGrid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(годы)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Госпошлина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815,3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112,4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90,5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852,4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104,6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37,1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1 411,1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165,5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558,7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1 507,6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1 675,9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111,2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168,3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1,2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1 956,7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280,8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A80732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732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1953,0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99,8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1,2</w:t>
            </w:r>
          </w:p>
        </w:tc>
      </w:tr>
      <w:tr w:rsidR="007454DE" w:rsidRPr="007454DE" w:rsidTr="007454DE">
        <w:trPr>
          <w:trHeight w:val="1"/>
        </w:trPr>
        <w:tc>
          <w:tcPr>
            <w:tcW w:w="9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454DE" w:rsidRPr="007454DE" w:rsidRDefault="007454DE" w:rsidP="007454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7D471" wp14:editId="377DA28E">
                  <wp:extent cx="6001555" cy="1751527"/>
                  <wp:effectExtent l="0" t="0" r="18415" b="127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Доходов, получаемых в виде арендно</w:t>
            </w:r>
            <w:r w:rsidR="00573B8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й платы за земельные участки </w:t>
            </w:r>
            <w:proofErr w:type="gramStart"/>
            <w:r w:rsidR="00573B8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год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="00641C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поступило 4 836,5 тыс. рублей или 110,8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 от уточнённого пл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анового показателя, что на 1 487,3 тыс. рублей выше факта 2019 года или на 44,4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%. В структуре собственных д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оходов удельный вес составил 2,9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%.</w:t>
            </w:r>
          </w:p>
          <w:p w:rsidR="007454DE" w:rsidRPr="007454DE" w:rsidRDefault="007454DE" w:rsidP="007454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Динамика поступления доходов, получаемых в виде арендной платы за земельные участки, государственная собственность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за ряд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лет  представлена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следующей таблице: </w:t>
            </w:r>
          </w:p>
          <w:p w:rsidR="007454DE" w:rsidRPr="007454DE" w:rsidRDefault="007454DE" w:rsidP="007454D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7454DE" w:rsidRPr="007454DE" w:rsidRDefault="007454DE" w:rsidP="007454DE">
            <w:pPr>
              <w:spacing w:after="200" w:line="276" w:lineRule="auto"/>
              <w:jc w:val="right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Периоды (годы)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получаемой в 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виде арендной платы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Темп роста к предыдущему периоду (%)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в объеме 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собственных доходов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2014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2 179,5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117,9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330,8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2,2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2 964,6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136,0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785,1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0,6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2 055,5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- 909,1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1,6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1 280,8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62,3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- 774,7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1,0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3 457,9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2,7 раза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2 177,1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2,6</w:t>
            </w:r>
          </w:p>
        </w:tc>
      </w:tr>
      <w:tr w:rsidR="007454DE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3 349,2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2,2</w:t>
            </w:r>
          </w:p>
        </w:tc>
      </w:tr>
      <w:tr w:rsidR="00573B82" w:rsidRPr="007454DE" w:rsidTr="007454DE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B82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2020 год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4 836,5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B82" w:rsidRPr="007454DE" w:rsidRDefault="00573B82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144,4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1 487,3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2,9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69D20191" wp14:editId="38930BAA">
            <wp:extent cx="6119495" cy="157203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</w:t>
      </w:r>
    </w:p>
    <w:p w:rsidR="007454DE" w:rsidRPr="007454DE" w:rsidRDefault="007454DE" w:rsidP="00573B8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доходов, получаемых от сдачи в аренду муниципального имущества 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</w:t>
      </w:r>
      <w:proofErr w:type="gramStart"/>
      <w:r w:rsidR="00573B82">
        <w:rPr>
          <w:rFonts w:ascii="Times New Roman" w:eastAsia="Times New Roman" w:hAnsi="Times New Roman" w:cs="Times New Roman"/>
          <w:sz w:val="28"/>
          <w:lang w:eastAsia="ru-RU"/>
        </w:rPr>
        <w:t>района</w:t>
      </w:r>
      <w:proofErr w:type="gramEnd"/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поступило 556,2 тыс. рублей или на 88,7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от уточнённого планового показателя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 год, что на 30,4 тыс. рублей или на 5,8% 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объёме собственных доходов составил 0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>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доходов от сдачи в аренду имущества за ряд лет представлена в следующей таблице: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</w:t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488"/>
        <w:gridCol w:w="1980"/>
        <w:gridCol w:w="1984"/>
        <w:gridCol w:w="2127"/>
      </w:tblGrid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 (годы)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от аренды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695,3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0,7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704,3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660,2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- 44,1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563,6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2019 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525,8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05218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218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556,2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33597D" wp14:editId="58FCFD5B">
            <wp:extent cx="6085268" cy="2067059"/>
            <wp:effectExtent l="0" t="0" r="1079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54DE" w:rsidRPr="007454DE" w:rsidRDefault="007454DE" w:rsidP="004A12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Плата за негативное воздействие на окружающую среду 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поступи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>ло в бюджет района в сумме 164,3 тыс. рублей или 102,7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уточнённого пл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59,3 тыс. рублей или на 26,5% ниже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 (уменьшение произошло в связи со снижением ставок платы по Постановлению Правительства РФ №913 от 13.09.2016 года). Удельный вес в объёме 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>собственных доходов составил 0,1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Поступление платежей за негативное воздействие на окружающую среду на протяжении ряда лет представлено в следующей таблице: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629"/>
        <w:gridCol w:w="1964"/>
        <w:gridCol w:w="1967"/>
        <w:gridCol w:w="2095"/>
      </w:tblGrid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(годы)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предыдущему периоду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828,9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- 95,5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637,1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-191,8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774,9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0,6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417,6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- 357,3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406,9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7454D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223,6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-183,3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022CAE" w:rsidRPr="007454DE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CA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164,3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906A17" wp14:editId="4B42F2FC">
            <wp:extent cx="5648325" cy="22098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022C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Штрафы, санкции, возмещение ущерба 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поступили в сумме 844,6 тыс. рублей или 92,8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336,5 тыс. рублей или на 28,5% ниже факта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структуре 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>собственных доходов составил 0,5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штрафных санкций в районный бюджет представлена в следующей таблице: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843"/>
        <w:gridCol w:w="1701"/>
        <w:gridCol w:w="1701"/>
      </w:tblGrid>
      <w:tr w:rsidR="007454DE" w:rsidRPr="007454DE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 (годы)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Штрафы санкции возмещение ущерба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1 765,3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1,8</w:t>
            </w:r>
          </w:p>
        </w:tc>
      </w:tr>
      <w:tr w:rsidR="007454DE" w:rsidRPr="007454DE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1 337,0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-428,3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7454DE" w:rsidRPr="007454DE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1 259,0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1,0</w:t>
            </w:r>
          </w:p>
        </w:tc>
      </w:tr>
      <w:tr w:rsidR="007454DE" w:rsidRPr="007454DE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1 777,1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7454DE" w:rsidRPr="007454DE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1 475,0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-302,1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7454DE" w:rsidRPr="007454DE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1 181,1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-293,9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D63B2B" w:rsidRPr="007454DE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B2B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-336,5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6270867C" wp14:editId="11E43431">
            <wp:extent cx="6072389" cy="1320085"/>
            <wp:effectExtent l="0" t="0" r="508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54DE" w:rsidRPr="007454DE" w:rsidRDefault="007454DE" w:rsidP="00745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</w:p>
    <w:p w:rsidR="0075204E" w:rsidRDefault="0075204E" w:rsidP="002A069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7454DE" w:rsidRPr="007C78D8" w:rsidRDefault="007454DE" w:rsidP="002A069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78D8">
        <w:rPr>
          <w:rFonts w:ascii="Times New Roman" w:eastAsia="Times New Roman" w:hAnsi="Times New Roman" w:cs="Times New Roman"/>
          <w:b/>
          <w:sz w:val="28"/>
          <w:lang w:eastAsia="ru-RU"/>
        </w:rPr>
        <w:t>Безвозмездные поступления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из областного бюджета в доходную часть районного бюджета в 2020</w:t>
      </w:r>
      <w:r w:rsidR="00C550B1"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 w:rsidR="00FF795F" w:rsidRPr="007C78D8">
        <w:rPr>
          <w:rFonts w:ascii="Times New Roman" w:eastAsia="Times New Roman" w:hAnsi="Times New Roman" w:cs="Times New Roman"/>
          <w:sz w:val="28"/>
          <w:lang w:eastAsia="ru-RU"/>
        </w:rPr>
        <w:t>361 890,8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 виде дотаций поступило 80 633,9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дотация на выравнивание бюджетной обеспеченности в сумме 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>36 216,0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дотация на поддержку мер по обеспечению сбалансированности      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>бюджетов в сумме 44 150,6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Полученные средства в основном направлялись на выплату заработной платы и начислений работникам бюджетной сферы, оплаты потреблённых энергоресурсов.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Динамика дотаций на выравнивание уровня бюджетной обеспеченности и на поддержку мер по обеспечению сбалансированности бюджетов, направляемых на выполнение полномочий муниципального района, характеризуются следующей таблицей:  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132"/>
        <w:gridCol w:w="1706"/>
        <w:gridCol w:w="2552"/>
        <w:gridCol w:w="1660"/>
      </w:tblGrid>
      <w:tr w:rsidR="007454DE" w:rsidRPr="007454DE" w:rsidTr="007454DE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Дотация на поддержку мер по сбалансированности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</w:t>
            </w:r>
          </w:p>
          <w:p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</w:t>
            </w:r>
          </w:p>
        </w:tc>
      </w:tr>
      <w:tr w:rsidR="007454DE" w:rsidRPr="007454DE" w:rsidTr="007454DE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12 812,0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62 078,2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96,2</w:t>
            </w:r>
          </w:p>
        </w:tc>
      </w:tr>
      <w:tr w:rsidR="007454DE" w:rsidRPr="007454DE" w:rsidTr="007454DE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16 880,0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47 747,0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76,9</w:t>
            </w:r>
          </w:p>
        </w:tc>
      </w:tr>
      <w:tr w:rsidR="007454DE" w:rsidRPr="007454DE" w:rsidTr="007454DE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20 763,0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44 318,7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92,8</w:t>
            </w:r>
          </w:p>
        </w:tc>
      </w:tr>
      <w:tr w:rsidR="007454DE" w:rsidRPr="007454DE" w:rsidTr="007454DE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38 193,0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183,9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54 630,1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123,3</w:t>
            </w:r>
          </w:p>
        </w:tc>
      </w:tr>
      <w:tr w:rsidR="007454DE" w:rsidRPr="007454DE" w:rsidTr="007454DE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44 366,0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55 676,7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101,9</w:t>
            </w:r>
          </w:p>
        </w:tc>
      </w:tr>
      <w:tr w:rsidR="007454DE" w:rsidRPr="007454DE" w:rsidTr="007454DE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43 689,0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38 900,4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69,9</w:t>
            </w:r>
          </w:p>
        </w:tc>
      </w:tr>
      <w:tr w:rsidR="007C78D8" w:rsidRPr="007454DE" w:rsidTr="007454DE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8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36 216,0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44 150,6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C4" w:rsidRPr="007454DE" w:rsidRDefault="007C78D8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113,5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A549EA" w:rsidRDefault="007454DE" w:rsidP="00DF58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549EA">
        <w:rPr>
          <w:rFonts w:ascii="Times New Roman" w:eastAsia="Times New Roman" w:hAnsi="Times New Roman" w:cs="Times New Roman"/>
          <w:sz w:val="28"/>
          <w:lang w:eastAsia="ru-RU"/>
        </w:rPr>
        <w:t>В 2020 году</w:t>
      </w:r>
      <w:r w:rsidRPr="00A549E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A549EA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района поступило дотаций в сумме </w:t>
      </w:r>
      <w:r w:rsidR="00A549EA">
        <w:rPr>
          <w:rFonts w:ascii="Times New Roman" w:eastAsia="Times New Roman" w:hAnsi="Times New Roman" w:cs="Times New Roman"/>
          <w:sz w:val="28"/>
          <w:lang w:eastAsia="ru-RU"/>
        </w:rPr>
        <w:t>80 633,9</w:t>
      </w:r>
      <w:r w:rsidRPr="00A549E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</w:t>
      </w:r>
      <w:r w:rsidR="00A549EA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A549E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F583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F5839" w:rsidRPr="00DF5839" w:rsidRDefault="007454DE" w:rsidP="00DF583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549EA">
        <w:rPr>
          <w:rFonts w:ascii="Times New Roman" w:eastAsia="Times New Roman" w:hAnsi="Times New Roman" w:cs="Times New Roman"/>
          <w:sz w:val="28"/>
          <w:lang w:eastAsia="ru-RU"/>
        </w:rPr>
        <w:t>В 2020 году в бюджет ра</w:t>
      </w:r>
      <w:r w:rsidR="00E47D33">
        <w:rPr>
          <w:rFonts w:ascii="Times New Roman" w:eastAsia="Times New Roman" w:hAnsi="Times New Roman" w:cs="Times New Roman"/>
          <w:sz w:val="28"/>
          <w:lang w:eastAsia="ru-RU"/>
        </w:rPr>
        <w:t>йона поступило субсидий 14 087,3 тыс. рублей</w:t>
      </w:r>
      <w:r w:rsidR="00DF5839">
        <w:rPr>
          <w:rFonts w:ascii="Times New Roman" w:eastAsia="Times New Roman" w:hAnsi="Times New Roman" w:cs="Times New Roman"/>
          <w:sz w:val="28"/>
          <w:lang w:eastAsia="ru-RU"/>
        </w:rPr>
        <w:t xml:space="preserve">, прочих субсидий поступило 7 675,8 тыс. рублей. </w:t>
      </w:r>
    </w:p>
    <w:p w:rsidR="007454DE" w:rsidRPr="00DF5839" w:rsidRDefault="007454DE" w:rsidP="00DF583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F5839">
        <w:rPr>
          <w:rFonts w:ascii="Times New Roman" w:eastAsia="Times New Roman" w:hAnsi="Times New Roman" w:cs="Times New Roman"/>
          <w:sz w:val="28"/>
          <w:lang w:eastAsia="ru-RU"/>
        </w:rPr>
        <w:t>Виды субсидий постоянно меняются и за 20</w:t>
      </w:r>
      <w:r w:rsidR="00DF5839">
        <w:rPr>
          <w:rFonts w:ascii="Times New Roman" w:eastAsia="Times New Roman" w:hAnsi="Times New Roman" w:cs="Times New Roman"/>
          <w:sz w:val="28"/>
          <w:lang w:eastAsia="ru-RU"/>
        </w:rPr>
        <w:t>20 год в сравнении с 2019</w:t>
      </w:r>
      <w:r w:rsidRPr="00DF5839">
        <w:rPr>
          <w:rFonts w:ascii="Times New Roman" w:eastAsia="Times New Roman" w:hAnsi="Times New Roman" w:cs="Times New Roman"/>
          <w:sz w:val="28"/>
          <w:lang w:eastAsia="ru-RU"/>
        </w:rPr>
        <w:t xml:space="preserve"> годом представлены в следующей таблице:                                                                    </w:t>
      </w:r>
    </w:p>
    <w:p w:rsidR="007454DE" w:rsidRPr="007454DE" w:rsidRDefault="007454DE" w:rsidP="007454D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134"/>
        <w:gridCol w:w="1134"/>
        <w:gridCol w:w="1134"/>
        <w:gridCol w:w="985"/>
        <w:gridCol w:w="992"/>
      </w:tblGrid>
      <w:tr w:rsidR="007454DE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DF5839" w:rsidRDefault="00DF5839" w:rsidP="007454D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 2019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к 2019 </w:t>
            </w: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DF5839" w:rsidRPr="007454DE" w:rsidTr="007454D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по ДЦП «Обеспечение жильем молодых семей»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1 896,3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Pr="007454DE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1 896,3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DF5839" w:rsidRPr="007454DE" w:rsidTr="007454D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приобретение специализированной техники для предприятий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7 503,0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1ECD" w:rsidRPr="007454DE" w:rsidRDefault="006B1EC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1ECD" w:rsidRPr="007454DE" w:rsidRDefault="006B1EC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839" w:rsidRPr="007454DE" w:rsidTr="007454D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F5839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подготовку объектов ЖКХ к зиме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Pr="007454DE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Pr="007454DE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1ECD" w:rsidRPr="007454DE" w:rsidRDefault="006B1EC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F5839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839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3 727,6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839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муниципальных районов на поддержку отрасли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Pr="007454DE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Pr="007454DE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DF5839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1 800,0</w:t>
            </w: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Pr="007454DE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7BE2" w:rsidRPr="007454DE" w:rsidRDefault="009E7BE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2 200,0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DF5839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8 726,4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1 511,9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5B3B" w:rsidRPr="007454DE" w:rsidRDefault="00135B3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1 203,2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Default="001A31BE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31BE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DF5839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11 951,3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1ECD" w:rsidRDefault="006B1EC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1ECD" w:rsidRPr="007454DE" w:rsidRDefault="006B1EC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1ECD" w:rsidRDefault="006B1EC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1ECD" w:rsidRPr="007454DE" w:rsidRDefault="006B1EC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839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реализацию отдельных мероприятий по развитию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1ECD" w:rsidRPr="007454DE" w:rsidRDefault="006B1EC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1ECD" w:rsidRPr="007454DE" w:rsidRDefault="006B1EC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1BB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1BB" w:rsidRPr="007454DE" w:rsidRDefault="004401BB" w:rsidP="00DF5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1BB" w:rsidRPr="007454DE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3 387,7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3 038,3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1BB" w:rsidRDefault="004401BB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D91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цифровой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среды в образовательных организациях и профессиональных организациях Брянской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B3D91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CA77B8" w:rsidP="00DF5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замену оконных блоков муниципальных образовательных организаций Брянской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3 561,5</w:t>
            </w: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3 561,5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D91" w:rsidRPr="007454DE" w:rsidTr="007454D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CA77B8" w:rsidP="00DF5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приведение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бредбуком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«Точки роста» помещений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77B8" w:rsidRPr="007454DE" w:rsidRDefault="00CA77B8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D91" w:rsidRDefault="005B3D91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49B4" w:rsidRPr="007454DE" w:rsidRDefault="005949B4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839" w:rsidRPr="007454DE" w:rsidTr="007454D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DF5839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40 568,0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B83BF0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15 256,7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9C0BA2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14 087,3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A11CB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39" w:rsidRPr="007454DE" w:rsidRDefault="00A11CBD" w:rsidP="00DF583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34,7</w:t>
            </w:r>
          </w:p>
        </w:tc>
      </w:tr>
    </w:tbl>
    <w:p w:rsidR="003D1FB8" w:rsidRDefault="003D1FB8" w:rsidP="000550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66ABC" w:rsidRPr="007454DE" w:rsidRDefault="007454DE" w:rsidP="003D1FB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было израсходовано </w:t>
      </w:r>
      <w:r w:rsidR="00166ABC">
        <w:rPr>
          <w:rFonts w:ascii="Times New Roman" w:eastAsia="Times New Roman" w:hAnsi="Times New Roman" w:cs="Times New Roman"/>
          <w:sz w:val="28"/>
          <w:lang w:eastAsia="ru-RU"/>
        </w:rPr>
        <w:t>240 282,7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субвенций при плане </w:t>
      </w:r>
      <w:r w:rsidR="00166ABC">
        <w:rPr>
          <w:rFonts w:ascii="Times New Roman" w:eastAsia="Times New Roman" w:hAnsi="Times New Roman" w:cs="Times New Roman"/>
          <w:sz w:val="28"/>
          <w:lang w:eastAsia="ru-RU"/>
        </w:rPr>
        <w:t>247 934,1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</w:t>
      </w:r>
      <w:r w:rsidR="00166ABC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 плана составило 96,9%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055045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Виды субвенций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представлены в следующей таблице:      </w:t>
      </w:r>
    </w:p>
    <w:p w:rsidR="003D316F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D316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(тыс. рублей)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560"/>
        <w:gridCol w:w="5208"/>
        <w:gridCol w:w="1016"/>
        <w:gridCol w:w="1134"/>
      </w:tblGrid>
      <w:tr w:rsidR="003D316F" w:rsidRPr="003D316F" w:rsidTr="003D316F">
        <w:trPr>
          <w:trHeight w:val="51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247 934,1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240 282,7</w:t>
            </w:r>
          </w:p>
        </w:tc>
      </w:tr>
      <w:tr w:rsidR="003D316F" w:rsidRPr="003D316F" w:rsidTr="003D316F">
        <w:trPr>
          <w:trHeight w:val="69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000 2 02 03024 00 0000 151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238 953,7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237 972,4</w:t>
            </w:r>
          </w:p>
        </w:tc>
      </w:tr>
      <w:tr w:rsidR="003D316F" w:rsidRPr="003D316F" w:rsidTr="003D316F">
        <w:trPr>
          <w:trHeight w:val="765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238 953,7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237 972,4</w:t>
            </w:r>
          </w:p>
        </w:tc>
      </w:tr>
      <w:tr w:rsidR="003D316F" w:rsidRPr="003D316F" w:rsidTr="003D316F">
        <w:trPr>
          <w:trHeight w:val="2685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отдельных государственных полномочий Брянской области в сфере деятельности   по профилактике  безнадзорности  и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вонарушений  несовершеннолетних</w:t>
            </w: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организации деятельности административных комиссий и определения перечня  должностных  лиц  органов  местного  самоуправления ,уполномоченных составлять  протоколы  об административных  правонарушениях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1 084,8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1 084,8</w:t>
            </w:r>
          </w:p>
        </w:tc>
      </w:tr>
      <w:tr w:rsidR="003D316F" w:rsidRPr="003D316F" w:rsidTr="003D316F">
        <w:trPr>
          <w:trHeight w:val="3421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916 2 02 03024 05 0000 151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 осуществление  отдельных  государственных  полномочий  Брянской  области  по  организации  проведения   на  территории  Брянской  области  мероприятий  по  предупреждению и  ликвидации  болезней  животных, их  </w:t>
            </w:r>
            <w:proofErr w:type="spellStart"/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лечению,защите</w:t>
            </w:r>
            <w:proofErr w:type="spellEnd"/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населения  от  болезней  общих  для  человека  и  животных, в части  оборудования  и  содержания   скотомогильников (биотермических  ям ) и в  части  организации  отлова и  содержание   безнадзорных  животных  на  территории Брянской  области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3D316F" w:rsidRPr="003D316F" w:rsidTr="003D316F">
        <w:trPr>
          <w:trHeight w:val="1785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 на  предоставление 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культуры,находящихся</w:t>
            </w:r>
            <w:proofErr w:type="spellEnd"/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сельской  местности  или поселках городского типа на территории Брянской области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3D316F" w:rsidRPr="003D316F" w:rsidTr="003D316F">
        <w:trPr>
          <w:trHeight w:val="1275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муниципальных  районов  на  финансовое  обеспечение  государственных гарантий реализации прав на получение общедоступного и бесплатного  дошкольного  образования  в  образовательных  организациях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62 699,7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62 699,7</w:t>
            </w:r>
          </w:p>
        </w:tc>
      </w:tr>
      <w:tr w:rsidR="003D316F" w:rsidRPr="003D316F" w:rsidTr="003D316F">
        <w:trPr>
          <w:trHeight w:val="153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 бюджетам  муниципальных  районов  на  финансовое  обеспечение 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157 419,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157 419,8</w:t>
            </w:r>
          </w:p>
        </w:tc>
      </w:tr>
      <w:tr w:rsidR="003D316F" w:rsidRPr="003D316F" w:rsidTr="003D316F">
        <w:trPr>
          <w:trHeight w:val="153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мер социальной поддержки  работникам  образовательных  организаций, работающим  в   сельских  населенных  пунктах и поселках  городского  типа  на  территории      Брянской  области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8 630,4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8 630,4</w:t>
            </w:r>
          </w:p>
        </w:tc>
      </w:tr>
      <w:tr w:rsidR="003D316F" w:rsidRPr="003D316F" w:rsidTr="003D316F">
        <w:trPr>
          <w:trHeight w:val="102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муниципальных районов на обеспечение сохранности  жилых  помещений, закрепленных  за  детьми -сиротами  и детьми, оставшимися без попечения родителей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D316F" w:rsidRPr="003D316F" w:rsidTr="003D316F">
        <w:trPr>
          <w:trHeight w:val="1785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организацию и  осуществление  деятельности по  опеке и попечительству , выплату ежемесячных денежных  средств на  содержание и проезд ребенка, переданного  на  воспитание в семью  опекуна(попечителя), приемную  семью,  вознаграждения  приемным родителям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7 624,6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6 733,2</w:t>
            </w:r>
          </w:p>
        </w:tc>
      </w:tr>
      <w:tr w:rsidR="003D316F" w:rsidRPr="003D316F" w:rsidTr="003D316F">
        <w:trPr>
          <w:trHeight w:val="153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916 2 02 03024 05 0000 151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 отдельных  государственных полномочий Брянской области в области охраны труда и уведомительной  регистрации  территориальных  соглашений  и  коллективных  договоров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</w:t>
            </w:r>
          </w:p>
        </w:tc>
      </w:tr>
      <w:tr w:rsidR="003D316F" w:rsidRPr="003D316F" w:rsidTr="003D316F">
        <w:trPr>
          <w:trHeight w:val="153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003 2 02 03029 00 0000 151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 образований на выплату компенсации части родительской платы  за присмотр и уход за ребенком  в образовательных  организациях , реализующих  образовательную программу дошкольного образования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2 467,6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1 008,2</w:t>
            </w:r>
          </w:p>
        </w:tc>
      </w:tr>
      <w:tr w:rsidR="003D316F" w:rsidRPr="003D316F" w:rsidTr="003D316F">
        <w:trPr>
          <w:trHeight w:val="1275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003 2 02 03029 05 0000 151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 районов на выплату компенсации части родительской платы  за присмотр и уход за ребенком  в образовательных  организациях , реализующих  образовательную программу дошкольного образования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2 467,6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1 008,2</w:t>
            </w:r>
          </w:p>
        </w:tc>
      </w:tr>
      <w:tr w:rsidR="003D316F" w:rsidRPr="003D316F" w:rsidTr="003D316F">
        <w:trPr>
          <w:trHeight w:val="153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916 2 02 35082 00 0000 151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  на  обеспечение  предоставления  жилых  помещений  детям - сиротам и детям,  оставшимся  без попечения  родителей, лицам  из  их  числа  по договорам  найма  специализированных  жилых  помещений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5 018,0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316F" w:rsidRPr="003D316F" w:rsidTr="003D316F">
        <w:trPr>
          <w:trHeight w:val="153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916 2 02 35082 05 0000 151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 обеспечение  предоставления  жилых  помещений  детям - сиротам и детям,  оставшимся  без попечения  родителей, лицам  из  их  числа  по договорам  найма  специализированных  жилых  помещений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5 018,0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316F" w:rsidRPr="003D316F" w:rsidTr="003D316F">
        <w:trPr>
          <w:trHeight w:val="1170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916 2 02 35120 00 0000 150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</w:t>
            </w:r>
          </w:p>
        </w:tc>
      </w:tr>
      <w:tr w:rsidR="003D316F" w:rsidRPr="003D316F" w:rsidTr="003D316F">
        <w:trPr>
          <w:trHeight w:val="1275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916 2 02 35120 05 0000 150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3D316F" w:rsidRPr="003D316F" w:rsidTr="003D316F">
        <w:trPr>
          <w:trHeight w:val="1155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916 2 02 35260 00 0000 150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3D316F" w:rsidRPr="003D316F" w:rsidTr="003D316F">
        <w:trPr>
          <w:trHeight w:val="1125"/>
        </w:trPr>
        <w:tc>
          <w:tcPr>
            <w:tcW w:w="2560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916 2 02 35260 05 0000 150</w:t>
            </w:r>
          </w:p>
        </w:tc>
        <w:tc>
          <w:tcPr>
            <w:tcW w:w="5232" w:type="dxa"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1134" w:type="dxa"/>
            <w:noWrap/>
            <w:hideMark/>
          </w:tcPr>
          <w:p w:rsidR="003D316F" w:rsidRPr="003D316F" w:rsidRDefault="003D316F" w:rsidP="003D31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</w:tbl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</w:t>
      </w:r>
    </w:p>
    <w:p w:rsidR="007454DE" w:rsidRPr="007454DE" w:rsidRDefault="007454DE" w:rsidP="007775A6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775A6">
        <w:rPr>
          <w:rFonts w:ascii="Times New Roman" w:eastAsia="Times New Roman" w:hAnsi="Times New Roman" w:cs="Times New Roman"/>
          <w:b/>
          <w:sz w:val="28"/>
          <w:lang w:eastAsia="ru-RU"/>
        </w:rPr>
        <w:t>Иные межбюджетные трансферты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на 2020 год утверждены в сумме </w:t>
      </w:r>
      <w:r w:rsidR="007775A6">
        <w:rPr>
          <w:rFonts w:ascii="Times New Roman" w:eastAsia="Times New Roman" w:hAnsi="Times New Roman" w:cs="Times New Roman"/>
          <w:sz w:val="28"/>
          <w:lang w:eastAsia="ru-RU"/>
        </w:rPr>
        <w:t>29 301,4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775A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., исполнены в сумме </w:t>
      </w:r>
      <w:r w:rsidR="007775A6">
        <w:rPr>
          <w:rFonts w:ascii="Times New Roman" w:eastAsia="Times New Roman" w:hAnsi="Times New Roman" w:cs="Times New Roman"/>
          <w:sz w:val="28"/>
          <w:lang w:eastAsia="ru-RU"/>
        </w:rPr>
        <w:t>26 886,9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7775A6">
        <w:rPr>
          <w:rFonts w:ascii="Times New Roman" w:eastAsia="Times New Roman" w:hAnsi="Times New Roman" w:cs="Times New Roman"/>
          <w:sz w:val="28"/>
          <w:lang w:eastAsia="ru-RU"/>
        </w:rPr>
        <w:t>91,8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%, из которых: </w:t>
      </w:r>
      <w:r w:rsidR="007775A6">
        <w:rPr>
          <w:rFonts w:ascii="Times New Roman" w:eastAsia="Times New Roman" w:hAnsi="Times New Roman" w:cs="Times New Roman"/>
          <w:sz w:val="28"/>
          <w:lang w:eastAsia="ru-RU"/>
        </w:rPr>
        <w:t>13 812,3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775A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. - денежные средства, передаваемые району из бюджетов поселений на осуществление части полномочий по решению вопросов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местного значения в соответствии с заключенными соглашениями;</w:t>
      </w:r>
      <w:r w:rsidR="007775A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706D5">
        <w:rPr>
          <w:rFonts w:ascii="Times New Roman" w:eastAsia="Times New Roman" w:hAnsi="Times New Roman" w:cs="Times New Roman"/>
          <w:sz w:val="28"/>
          <w:lang w:eastAsia="ru-RU"/>
        </w:rPr>
        <w:t>6 279,</w:t>
      </w:r>
      <w:r w:rsidR="0078750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3706D5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- ежемесячное денежное вознаграждение за классное руководство педагогическим работникам; 6 186,5 тыс. рублей – межбюджетные трансферты муниципальным районам на мероприятия по решению вопросов местного значения; </w:t>
      </w:r>
      <w:r w:rsidR="007775A6">
        <w:rPr>
          <w:rFonts w:ascii="Times New Roman" w:eastAsia="Times New Roman" w:hAnsi="Times New Roman" w:cs="Times New Roman"/>
          <w:sz w:val="28"/>
          <w:lang w:eastAsia="ru-RU"/>
        </w:rPr>
        <w:t>609,1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-  гранты муниципальным районам в целях содействия достижению и поощрения достижения наилучших значений показателей деятельности.</w:t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Анализ исполнения бюджета Погарского района по расходам</w:t>
      </w:r>
    </w:p>
    <w:p w:rsidR="007454DE" w:rsidRPr="007454DE" w:rsidRDefault="007454DE" w:rsidP="002A56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Решением районного Совета 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>народных депутатов от 06.12.2019 года   №6-41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«О бюджете </w:t>
      </w:r>
      <w:r w:rsidR="001E20A5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="001E20A5">
        <w:rPr>
          <w:rFonts w:ascii="Times New Roman" w:eastAsia="Times New Roman" w:hAnsi="Times New Roman" w:cs="Times New Roman"/>
          <w:sz w:val="28"/>
          <w:lang w:eastAsia="ru-RU"/>
        </w:rPr>
        <w:t>района Брянской области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977204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годов», первоначальные бюджетные расходы были утверждены в сумме </w:t>
      </w:r>
      <w:r w:rsidR="00977204">
        <w:rPr>
          <w:rFonts w:ascii="Times New Roman" w:eastAsia="Times New Roman" w:hAnsi="Times New Roman" w:cs="Times New Roman"/>
          <w:sz w:val="28"/>
          <w:lang w:eastAsia="ru-RU"/>
        </w:rPr>
        <w:t>498 551,477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В процессе исп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>олнения бюджет корректировался 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раз. Внесение изменений обусловлено, в основном, необходимостью распределения дополнительных собственных доходов и областных целевых средств и перераспределения ассигнований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утверждённых ассигнований.</w:t>
      </w:r>
    </w:p>
    <w:p w:rsidR="007454DE" w:rsidRPr="007454DE" w:rsidRDefault="007454DE" w:rsidP="00921B3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Решением районного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06.12.2019 года №6-41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, бюджетные ассигнования по расход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>ам исполнены в сумме 515 345,535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первоначально утверждённы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>е расходы были увеличены на 3,4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921B3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исполнения расходной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части районного бюджета за 2016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представлены в таблице:         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7454DE">
        <w:rPr>
          <w:rFonts w:ascii="Times New Roman" w:eastAsia="Times New Roman" w:hAnsi="Times New Roman" w:cs="Times New Roman"/>
          <w:sz w:val="24"/>
          <w:lang w:val="en-US" w:eastAsia="ru-RU"/>
        </w:rPr>
        <w:t>(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тыс. руб.)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5"/>
        <w:gridCol w:w="1266"/>
        <w:gridCol w:w="1266"/>
        <w:gridCol w:w="1266"/>
        <w:gridCol w:w="1260"/>
        <w:gridCol w:w="1256"/>
      </w:tblGrid>
      <w:tr w:rsidR="00921B3E" w:rsidRPr="007454DE" w:rsidTr="00921B3E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  <w:p w:rsidR="00921B3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</w:tr>
      <w:tr w:rsidR="00921B3E" w:rsidRPr="007454DE" w:rsidTr="00921B3E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32 863,4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33 388,2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35 219,1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41 001,6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46 789,4</w:t>
            </w:r>
          </w:p>
        </w:tc>
      </w:tr>
      <w:tr w:rsidR="00921B3E" w:rsidRPr="007454DE" w:rsidTr="00921B3E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845,4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829,6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1 018,7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1 110,3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1 199,9</w:t>
            </w:r>
          </w:p>
        </w:tc>
      </w:tr>
      <w:tr w:rsidR="00921B3E" w:rsidRPr="007454DE" w:rsidTr="00921B3E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правоохранительная деятельность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1 450,1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1 330,0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2 058,7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3 162,1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A4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3 127,0</w:t>
            </w:r>
          </w:p>
        </w:tc>
      </w:tr>
      <w:tr w:rsidR="00921B3E" w:rsidRPr="007454DE" w:rsidTr="00921B3E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49 701,3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81 842,1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26 267,9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22 732,2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23 807,5</w:t>
            </w:r>
          </w:p>
        </w:tc>
      </w:tr>
      <w:tr w:rsidR="00921B3E" w:rsidRPr="007454DE" w:rsidTr="00921B3E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1 430,9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2 006,3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9 917,2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14 193,0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A4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2 362,9</w:t>
            </w:r>
          </w:p>
        </w:tc>
      </w:tr>
      <w:tr w:rsidR="00921B3E" w:rsidRPr="007454DE" w:rsidTr="00921B3E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353,5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11 457,2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5 922,1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487,6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</w:tr>
      <w:tr w:rsidR="00921B3E" w:rsidRPr="007454DE" w:rsidTr="00921B3E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314 232,1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301 119,1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322 374,8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353 985,6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A4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355 976,5</w:t>
            </w:r>
          </w:p>
        </w:tc>
      </w:tr>
      <w:tr w:rsidR="00921B3E" w:rsidRPr="007454DE" w:rsidTr="00921B3E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22 265,1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30 157,1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30 271,6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40 369,7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32 150,3</w:t>
            </w:r>
          </w:p>
        </w:tc>
      </w:tr>
      <w:tr w:rsidR="00921B3E" w:rsidRPr="007454DE" w:rsidTr="00921B3E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23 007,1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21 539,2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22 208,7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18 418,0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17 744,9</w:t>
            </w:r>
          </w:p>
        </w:tc>
      </w:tr>
      <w:tr w:rsidR="00921B3E" w:rsidRPr="007454DE" w:rsidTr="00921B3E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8 651,8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9 412,3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9 770,6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10 561,7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10 692,5</w:t>
            </w:r>
          </w:p>
        </w:tc>
      </w:tr>
      <w:tr w:rsidR="00921B3E" w:rsidRPr="007454DE" w:rsidTr="00921B3E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23 716,6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20 740,3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14 675,3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6 661,0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21 441,4</w:t>
            </w:r>
          </w:p>
        </w:tc>
      </w:tr>
      <w:tr w:rsidR="00921B3E" w:rsidRPr="007454DE" w:rsidTr="00921B3E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478 517,3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513 821,4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479 704,7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512 682,8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515 345,5</w:t>
            </w:r>
          </w:p>
        </w:tc>
      </w:tr>
      <w:tr w:rsidR="00921B3E" w:rsidRPr="007454DE" w:rsidTr="00921B3E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 (в %)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3E" w:rsidRPr="007454D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1B3E" w:rsidRDefault="00921B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A4" w:rsidRPr="007454DE" w:rsidRDefault="005A2A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54DE" w:rsidRPr="007454DE" w:rsidRDefault="007454DE" w:rsidP="00BA7F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Как видно из таблицы, расходы районного бюджета, по сравнению с предшествующем периодом, увеличились на</w:t>
      </w:r>
      <w:r w:rsidR="00BA7F5F">
        <w:rPr>
          <w:rFonts w:ascii="Times New Roman" w:eastAsia="Times New Roman" w:hAnsi="Times New Roman" w:cs="Times New Roman"/>
          <w:sz w:val="28"/>
          <w:lang w:eastAsia="ru-RU"/>
        </w:rPr>
        <w:t xml:space="preserve"> 2 662,7 тыс. рублей или на 0,5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Анализ исполнения расходов районного бюджета по разделам функциональной классификации расходов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представлен в следующей таблице:  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345"/>
        <w:gridCol w:w="1470"/>
        <w:gridCol w:w="1345"/>
        <w:gridCol w:w="945"/>
        <w:gridCol w:w="1134"/>
        <w:gridCol w:w="992"/>
      </w:tblGrid>
      <w:tr w:rsidR="007454DE" w:rsidRPr="007454DE" w:rsidTr="00175F9F">
        <w:trPr>
          <w:jc w:val="center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разделов, функциональная классификация расходов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BA7F5F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 за 2019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Утверждено на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Исполнение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Структура в %</w:t>
            </w:r>
          </w:p>
        </w:tc>
      </w:tr>
      <w:tr w:rsidR="007454DE" w:rsidRPr="007454DE" w:rsidTr="00175F9F">
        <w:trPr>
          <w:jc w:val="center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BA7F5F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факту 2019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</w:tr>
      <w:tr w:rsidR="00BA7F5F" w:rsidRPr="007454DE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41 001,6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5C8" w:rsidRPr="007454DE" w:rsidRDefault="00B56872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48 073,6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5C8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46 789,4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52AD" w:rsidRPr="007454DE" w:rsidRDefault="00F74CB3" w:rsidP="00E552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F9F" w:rsidRPr="007454DE" w:rsidRDefault="00175F9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4076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A7F5F" w:rsidRPr="007454DE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1 110,3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56872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1 199,9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1 199,9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175F9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7F5F" w:rsidRPr="007454DE" w:rsidTr="00175F9F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3 162,1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872" w:rsidRPr="007454DE" w:rsidRDefault="00B56872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3 183,5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5C8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3 127,0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4CB3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F9F" w:rsidRPr="007454DE" w:rsidRDefault="00175F9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4076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A7F5F" w:rsidRPr="007454DE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22 732,2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872" w:rsidRPr="007454DE" w:rsidRDefault="00B56872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27 698,4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5C8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23 807,5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4CB3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F9F" w:rsidRPr="007454DE" w:rsidRDefault="00CE0DE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4076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A7F5F" w:rsidRPr="007454DE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14 193,0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872" w:rsidRPr="007454DE" w:rsidRDefault="00B56872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2 553,4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5C8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2 362,9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4CB3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E0DE6" w:rsidRPr="007454DE" w:rsidRDefault="00CE0DE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4076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7F5F" w:rsidRPr="007454DE" w:rsidTr="00175F9F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окружающей среды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487,6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872" w:rsidRPr="007454DE" w:rsidRDefault="00B56872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5C8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4CB3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E0DE6" w:rsidRPr="007454DE" w:rsidRDefault="00CE0DE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4076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F5F" w:rsidRPr="007454DE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353 985,6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56872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362 971,2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355 976,5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CE0DE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BA7F5F" w:rsidRPr="007454DE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40 369,7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926" w:rsidRPr="007454DE" w:rsidRDefault="00A4592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35 703,2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5C8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32 150,3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4CB3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E0DE6" w:rsidRPr="007454DE" w:rsidRDefault="00CE0DE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4076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BA7F5F" w:rsidRPr="007454DE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18 418,0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A4592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25 396,3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17 744,9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CE0DE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A7F5F" w:rsidRPr="007454DE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10 561,7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926" w:rsidRPr="007454DE" w:rsidRDefault="00A4592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10 704,3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5C8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10 692,5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4CB3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F9F" w:rsidRPr="007454DE" w:rsidRDefault="00CE0DE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4076" w:rsidRPr="007454DE" w:rsidRDefault="0083407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A7F5F" w:rsidRPr="007454DE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6 661,0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926" w:rsidRPr="007454DE" w:rsidRDefault="00A45926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21 678,5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5C8" w:rsidRPr="007454DE" w:rsidRDefault="006145C8" w:rsidP="006145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21 441,4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4CB3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F9F" w:rsidRPr="007454DE" w:rsidRDefault="00175F9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 раза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04DA" w:rsidRPr="007454DE" w:rsidRDefault="007D56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A7F5F" w:rsidRPr="007454DE" w:rsidTr="00175F9F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BA7F5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512 682,8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8B3195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539 231,9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6145C8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515 345,5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F74CB3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175F9F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F5F" w:rsidRPr="007454DE" w:rsidRDefault="00DD04D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54DE" w:rsidRPr="007454DE" w:rsidRDefault="007454DE" w:rsidP="00994DD0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Районный бюджет по расходам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 год исполнен в сумме 515 345,5 тыс. руб., что составляет 95,6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плановых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 назначений.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расходная часть бюджета увеличилась на 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>2 662,7 тыс. руб. или на 0,5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разрезе разделов функциональной классификации расходы районного бюджета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исполнены в следующих объёмах: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общегосударст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>венные вопросы выполнены на 97,3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национальная оборона на 100,0%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национальная безопасность и правоохранительная деятельность на 98,2%</w:t>
      </w:r>
    </w:p>
    <w:p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национальная экономика на 86,0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жилищн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>о-коммунальное хозяйство на 92,5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 охрана окружающей среды на 76,4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образование на 98,1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к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>ультура и кинематография на 90,1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социальная политика на 69,9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физич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>еская культура и спорт на 99,9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>межбюджетные трансферты на 98,9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:rsidR="007454DE" w:rsidRPr="007454DE" w:rsidRDefault="007454DE" w:rsidP="00994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Таким образом, в полном объё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ме расходы выполнены по разделу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02 «Национальная оборона».</w:t>
      </w:r>
    </w:p>
    <w:p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Наименьший процент исполнения бюджета по расходам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сложилс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я по разделу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10 «Социальная политика» - 69,9</w:t>
      </w:r>
      <w:r w:rsidR="003544D9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06 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«Охрана окружающей среды» - 76,4%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, 04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 «Национальная экономика» - 86,0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01 «Общегосударственные вопросы»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отражены расходы на обеспечение функционирования представительного органа муниципального образования, функционирования местной администрации, финансового органа, комитета по управлению муниципальным имуществом и Контрольно-счетной палаты.</w:t>
      </w:r>
    </w:p>
    <w:p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Удельный вес управленческих расходов в объёме расходов районного бюджета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 9,1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управленческих расходов за ряд лет представлена в таблице: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2854"/>
        <w:gridCol w:w="2258"/>
        <w:gridCol w:w="2246"/>
      </w:tblGrid>
      <w:tr w:rsidR="007454DE" w:rsidRPr="007454DE" w:rsidTr="007454D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на общегосударственные вопросы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Рост к предыдущему году (в %)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   (в %) к общим расходам</w:t>
            </w:r>
          </w:p>
        </w:tc>
      </w:tr>
      <w:tr w:rsidR="007454DE" w:rsidRPr="007454DE" w:rsidTr="007454D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2014 год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30 071,1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7,2</w:t>
            </w:r>
          </w:p>
        </w:tc>
      </w:tr>
      <w:tr w:rsidR="007454DE" w:rsidRPr="007454DE" w:rsidTr="007454D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2015 год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31 784,9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6,9</w:t>
            </w:r>
          </w:p>
        </w:tc>
      </w:tr>
      <w:tr w:rsidR="007454DE" w:rsidRPr="007454DE" w:rsidTr="007454D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32 863,4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6,9</w:t>
            </w:r>
          </w:p>
        </w:tc>
      </w:tr>
      <w:tr w:rsidR="007454DE" w:rsidRPr="007454DE" w:rsidTr="007454D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33 388,2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6,5</w:t>
            </w:r>
          </w:p>
        </w:tc>
      </w:tr>
      <w:tr w:rsidR="007454DE" w:rsidRPr="007454DE" w:rsidTr="007454D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35 219,1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7,4</w:t>
            </w:r>
          </w:p>
        </w:tc>
      </w:tr>
      <w:tr w:rsidR="007454DE" w:rsidRPr="007454DE" w:rsidTr="007454D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41 001,6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8,0</w:t>
            </w:r>
          </w:p>
        </w:tc>
      </w:tr>
      <w:tr w:rsidR="003544D9" w:rsidRPr="007454DE" w:rsidTr="007454D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4D9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46 789,4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9,1</w:t>
            </w:r>
          </w:p>
        </w:tc>
      </w:tr>
    </w:tbl>
    <w:p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eastAsiaTheme="minorEastAsia" w:cs="Times New Roman"/>
          <w:noProof/>
          <w:lang w:eastAsia="ru-RU"/>
        </w:rPr>
        <w:drawing>
          <wp:inline distT="0" distB="0" distL="0" distR="0" wp14:anchorId="7AB2F9EA" wp14:editId="3F2A761A">
            <wp:extent cx="5739788" cy="2412694"/>
            <wp:effectExtent l="0" t="0" r="13335" b="260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454DE" w:rsidRPr="007454DE" w:rsidRDefault="007454DE" w:rsidP="00C13DC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общегосударств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>енные расходы составили 46 789,4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>5 787,8 тыс. рублей или на 14,1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выше фактического исполнения 2018 года. Удельный вес в струк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>туре общих расходов составил 9,1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C13DC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02 «Национальная оборона» расходы представлены мобилизационной и вневойсковой подготовкой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эти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 цели было израсходовано 1 199,9 </w:t>
      </w:r>
      <w:proofErr w:type="spellStart"/>
      <w:r w:rsidR="00C13DC9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., что на 89,6 </w:t>
      </w:r>
      <w:proofErr w:type="spellStart"/>
      <w:r w:rsidR="00C13DC9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13DC9">
        <w:rPr>
          <w:rFonts w:ascii="Times New Roman" w:eastAsia="Times New Roman" w:hAnsi="Times New Roman" w:cs="Times New Roman"/>
          <w:sz w:val="28"/>
          <w:lang w:eastAsia="ru-RU"/>
        </w:rPr>
        <w:t>. или на 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>% выше,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</w:p>
    <w:p w:rsidR="007454DE" w:rsidRPr="007454DE" w:rsidRDefault="007454DE" w:rsidP="00A03E7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03 «Национальная безопасность и правоохранительная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деятельность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»,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году израсходовано 3 127,0 тыс. руб.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м расходы уменьшились на 35,1 </w:t>
      </w:r>
      <w:proofErr w:type="spellStart"/>
      <w:r w:rsidR="00A03E7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A03E7E">
        <w:rPr>
          <w:rFonts w:ascii="Times New Roman" w:eastAsia="Times New Roman" w:hAnsi="Times New Roman" w:cs="Times New Roman"/>
          <w:sz w:val="28"/>
          <w:lang w:eastAsia="ru-RU"/>
        </w:rPr>
        <w:t>. или на 1,1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 Удельный вес расходов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разделу 03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общем объеме расходов районного бюджета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 0,6%.  На содержание ЕДДС из средств районного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бюджета было направлено 2 863,8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04 «Национальная экономика»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сложились в сумме 23 807,5 тыс. рублей, что составило 86,0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плановог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о показателя, в сравнении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расходы у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величились на 4,7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их удельный вес в общей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составил 4,6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По данному разделу отражены расходы: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 на реализацию мероприятий по подразделу 04 05 «Сельское хозяйство и рыболовство» за счет средств районного и областного бюджетов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году было направлено 10,5 </w:t>
      </w:r>
      <w:proofErr w:type="spellStart"/>
      <w:r w:rsidR="00F262A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F262A2">
        <w:rPr>
          <w:rFonts w:ascii="Times New Roman" w:eastAsia="Times New Roman" w:hAnsi="Times New Roman" w:cs="Times New Roman"/>
          <w:sz w:val="28"/>
          <w:lang w:eastAsia="ru-RU"/>
        </w:rPr>
        <w:t>., исполнено 10,5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  на реализацию мероприятий по подразделу 04 08 "Транспорт"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было направлено и исполнено 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8 291,2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Денежные средства направлены на компенсацию транспортным организациям части потерь в доходы, возникающих в результате регулирования тарифов на перевозку пассажиров автомобильным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пассажирским транспортом по муниципальным маршрутам регулярных перевозок.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 на реализацию мероприятий по подразделу 04 09 «Дорожное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хозяйство»  в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году было направлено 16 743,6 </w:t>
      </w:r>
      <w:proofErr w:type="spellStart"/>
      <w:r w:rsidR="00F262A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F262A2">
        <w:rPr>
          <w:rFonts w:ascii="Times New Roman" w:eastAsia="Times New Roman" w:hAnsi="Times New Roman" w:cs="Times New Roman"/>
          <w:sz w:val="28"/>
          <w:lang w:eastAsia="ru-RU"/>
        </w:rPr>
        <w:t>., исполнено 12 892,4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на реализацию мероприятий по подразделу 04 12 «Другие вопросы в области национальной 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экономики» было направлено 2 653,2 тыс. рублей, исполнено 2 613,4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 05 «Жилищно-коммунальное хозяйство»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сложились в сумме 2 363,0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., их удельный вес в общих расхода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х районного бюджета составил 0,5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По сравн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м расходы уменьшились на 11 830,1 </w:t>
      </w:r>
      <w:proofErr w:type="spellStart"/>
      <w:r w:rsidR="00F262A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F262A2">
        <w:rPr>
          <w:rFonts w:ascii="Times New Roman" w:eastAsia="Times New Roman" w:hAnsi="Times New Roman" w:cs="Times New Roman"/>
          <w:sz w:val="28"/>
          <w:lang w:eastAsia="ru-RU"/>
        </w:rPr>
        <w:t>. или на 83,4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по разделу 0501 "Жилищное хозяйство" оплачены взносы за капитальный ремонт мн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огоквартирных домов в сумме 58,6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 </w:t>
      </w:r>
    </w:p>
    <w:p w:rsidR="007454DE" w:rsidRDefault="007454DE" w:rsidP="00D378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по разделу 0502 "Коммунальное хозя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йство" расходы исполнены на 92,4% (план – 2 494,8</w:t>
      </w:r>
      <w:r w:rsidR="00D37800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факт – 2 304,4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рублей). </w:t>
      </w:r>
    </w:p>
    <w:p w:rsidR="00D37800" w:rsidRPr="007454DE" w:rsidRDefault="00D37800" w:rsidP="00D378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F16DB9" w:rsidRDefault="007454DE" w:rsidP="00D378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16D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Расходы по разделу 06 «Охрана окружающей среды» 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>за 2020 год при плане 69,6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>. рублей исполнены в сумме 53,2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По данному разделу отражены расходы на мероприятия в сфере охраны окружающей среды -   организация и содержание мест захоронения твердых бытовых отходов, и др.</w:t>
      </w:r>
    </w:p>
    <w:p w:rsidR="007454DE" w:rsidRPr="00F16DB9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F16DB9" w:rsidRDefault="007454DE" w:rsidP="007454DE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Наибольший удельный вес в общих расходах районного бюджета приходится на раздел </w:t>
      </w:r>
      <w:r w:rsidRPr="00F16DB9">
        <w:rPr>
          <w:rFonts w:ascii="Times New Roman" w:eastAsia="Times New Roman" w:hAnsi="Times New Roman" w:cs="Times New Roman"/>
          <w:b/>
          <w:sz w:val="28"/>
          <w:lang w:eastAsia="ru-RU"/>
        </w:rPr>
        <w:t>07 «Образование»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>, что видно из следующей таблицы: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  <w:gridCol w:w="2410"/>
      </w:tblGrid>
      <w:tr w:rsidR="007454DE" w:rsidRPr="007454DE" w:rsidTr="007454DE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Объём расходов на отрасль «Образование»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Рост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 предыдущему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году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(в 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 %) к общим расходам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(без межбюджетных трансфертов)</w:t>
            </w:r>
          </w:p>
        </w:tc>
      </w:tr>
      <w:tr w:rsidR="007454DE" w:rsidRPr="007454DE" w:rsidTr="007454DE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312 019,5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74,3</w:t>
            </w:r>
          </w:p>
        </w:tc>
      </w:tr>
      <w:tr w:rsidR="007454DE" w:rsidRPr="007454DE" w:rsidTr="007454DE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306 708,5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66,3</w:t>
            </w:r>
          </w:p>
        </w:tc>
      </w:tr>
      <w:tr w:rsidR="007454DE" w:rsidRPr="007454DE" w:rsidTr="007454DE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314 232,1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69,1</w:t>
            </w:r>
          </w:p>
        </w:tc>
      </w:tr>
      <w:tr w:rsidR="007454DE" w:rsidRPr="007454DE" w:rsidTr="007454DE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301 119,1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58,6</w:t>
            </w:r>
          </w:p>
        </w:tc>
      </w:tr>
      <w:tr w:rsidR="007454DE" w:rsidRPr="007454DE" w:rsidTr="007454DE">
        <w:tblPrEx>
          <w:jc w:val="center"/>
          <w:tblInd w:w="0" w:type="dxa"/>
        </w:tblPrEx>
        <w:trPr>
          <w:trHeight w:val="24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322 374,8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69,3</w:t>
            </w:r>
          </w:p>
        </w:tc>
      </w:tr>
      <w:tr w:rsidR="007454DE" w:rsidRPr="007454DE" w:rsidTr="007454DE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F16DB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353 985,6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70,0</w:t>
            </w:r>
          </w:p>
        </w:tc>
      </w:tr>
      <w:tr w:rsidR="00F16DB9" w:rsidRPr="007454DE" w:rsidTr="007454DE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DB9" w:rsidRDefault="00F16DB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DB9" w:rsidRPr="007454DE" w:rsidRDefault="00F16DB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355 976,5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DB9" w:rsidRPr="007454DE" w:rsidRDefault="00F16DB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DB9" w:rsidRPr="007454DE" w:rsidRDefault="00F16DB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69,1</w:t>
            </w:r>
          </w:p>
        </w:tc>
      </w:tr>
    </w:tbl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eastAsiaTheme="minorEastAsia" w:cs="Times New Roman"/>
          <w:noProof/>
          <w:lang w:eastAsia="ru-RU"/>
        </w:rPr>
        <w:lastRenderedPageBreak/>
        <w:drawing>
          <wp:inline distT="0" distB="0" distL="0" distR="0" wp14:anchorId="5B019318" wp14:editId="6674DCC7">
            <wp:extent cx="6078220" cy="1637058"/>
            <wp:effectExtent l="0" t="0" r="17780" b="12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54DE" w:rsidRPr="007454DE" w:rsidRDefault="007454DE" w:rsidP="00F16DB9">
      <w:pPr>
        <w:tabs>
          <w:tab w:val="left" w:pos="9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дан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>ному разделу составили 355 976,5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п</w:t>
      </w:r>
      <w:r w:rsidR="00903CA1">
        <w:rPr>
          <w:rFonts w:ascii="Times New Roman" w:eastAsia="Times New Roman" w:hAnsi="Times New Roman" w:cs="Times New Roman"/>
          <w:sz w:val="28"/>
          <w:lang w:eastAsia="ru-RU"/>
        </w:rPr>
        <w:t>ри плановом показателе 362 971,2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03CA1">
        <w:rPr>
          <w:rFonts w:ascii="Times New Roman" w:eastAsia="Times New Roman" w:hAnsi="Times New Roman" w:cs="Times New Roman"/>
          <w:sz w:val="28"/>
          <w:lang w:eastAsia="ru-RU"/>
        </w:rPr>
        <w:t>тыс. рублей, что составляет 98,1% к плану.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</w:t>
      </w:r>
      <w:r w:rsidR="00903CA1">
        <w:rPr>
          <w:rFonts w:ascii="Times New Roman" w:eastAsia="Times New Roman" w:hAnsi="Times New Roman" w:cs="Times New Roman"/>
          <w:sz w:val="28"/>
          <w:lang w:eastAsia="ru-RU"/>
        </w:rPr>
        <w:t xml:space="preserve"> расходы увеличились на 1 990,9 тыс. рублей или на 0,6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tabs>
          <w:tab w:val="left" w:pos="9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на содержание дошкольных учреждений</w:t>
      </w:r>
      <w:r w:rsidR="00903CA1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было направлено </w:t>
      </w:r>
      <w:r w:rsidR="00085646">
        <w:rPr>
          <w:rFonts w:ascii="Times New Roman" w:eastAsia="Times New Roman" w:hAnsi="Times New Roman" w:cs="Times New Roman"/>
          <w:sz w:val="28"/>
          <w:lang w:eastAsia="ru-RU"/>
        </w:rPr>
        <w:t>84 528,5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</w:t>
      </w:r>
      <w:r w:rsidR="00085646">
        <w:rPr>
          <w:rFonts w:ascii="Times New Roman" w:eastAsia="Times New Roman" w:hAnsi="Times New Roman" w:cs="Times New Roman"/>
          <w:sz w:val="28"/>
          <w:lang w:eastAsia="ru-RU"/>
        </w:rPr>
        <w:t>. рублей, израсходовано 81 509,9 тыс. руб. или 96,4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Расходы в разрезе подразделов отрасли образование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представлены в следующей таблице:</w:t>
      </w:r>
    </w:p>
    <w:p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(тыс. руб.)                                             </w:t>
      </w:r>
    </w:p>
    <w:tbl>
      <w:tblPr>
        <w:tblW w:w="96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1276"/>
        <w:gridCol w:w="1417"/>
        <w:gridCol w:w="1330"/>
        <w:gridCol w:w="868"/>
        <w:gridCol w:w="879"/>
        <w:gridCol w:w="756"/>
        <w:gridCol w:w="845"/>
      </w:tblGrid>
      <w:tr w:rsidR="007454DE" w:rsidRPr="007454DE" w:rsidTr="007454DE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085646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за 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бюджета в 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расходов в %</w:t>
            </w:r>
          </w:p>
        </w:tc>
      </w:tr>
      <w:tr w:rsidR="007454DE" w:rsidRPr="007454DE" w:rsidTr="007454DE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 плану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54DE" w:rsidRPr="007454DE" w:rsidRDefault="007454DE" w:rsidP="007454DE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085646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 факту 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085646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085646" w:rsidRPr="007454DE" w:rsidTr="007454DE">
        <w:trPr>
          <w:trHeight w:val="96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0701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Дошкольное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82 621,4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84 528,5</w:t>
            </w: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A50AC" w:rsidRPr="007454DE" w:rsidRDefault="00AA50AC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81 509,9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F3293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2933" w:rsidRPr="007454DE" w:rsidRDefault="00F32933" w:rsidP="00F3293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3CD1" w:rsidRPr="007454DE" w:rsidRDefault="00C93CD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23,3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95851" w:rsidRPr="007454DE" w:rsidRDefault="00F9585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22,9</w:t>
            </w:r>
          </w:p>
        </w:tc>
      </w:tr>
      <w:tr w:rsidR="00085646" w:rsidRPr="007454DE" w:rsidTr="007454DE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0702</w:t>
            </w: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213 025,1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A50AC" w:rsidRPr="007454DE" w:rsidRDefault="00AA50AC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216 535,1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A50AC" w:rsidRPr="007454DE" w:rsidRDefault="00AA50AC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214 123,0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2933" w:rsidRPr="007454DE" w:rsidRDefault="00F32933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3CD1" w:rsidRPr="007454DE" w:rsidRDefault="00934A63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60,2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95851" w:rsidRPr="007454DE" w:rsidRDefault="00F9585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60,2</w:t>
            </w:r>
          </w:p>
        </w:tc>
      </w:tr>
      <w:tr w:rsidR="00085646" w:rsidRPr="007454DE" w:rsidTr="007454DE">
        <w:trPr>
          <w:trHeight w:val="89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0703</w:t>
            </w: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16 253,2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A50AC" w:rsidRPr="007454DE" w:rsidRDefault="00AA50AC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16 968,6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A50AC" w:rsidRPr="007454DE" w:rsidRDefault="00AA50AC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16 549,7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2933" w:rsidRPr="007454DE" w:rsidRDefault="00F32933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3CD1" w:rsidRPr="007454DE" w:rsidRDefault="00934A63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4,6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95851" w:rsidRPr="007454DE" w:rsidRDefault="00F9585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4,7</w:t>
            </w:r>
          </w:p>
        </w:tc>
      </w:tr>
      <w:tr w:rsidR="00085646" w:rsidRPr="007454DE" w:rsidTr="007454DE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0707</w:t>
            </w: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489,3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5D34" w:rsidRDefault="00055D34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5D34" w:rsidRPr="007454DE" w:rsidRDefault="00055D34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557,6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5D34" w:rsidRDefault="00055D34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5D34" w:rsidRPr="007454DE" w:rsidRDefault="00055D34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2933" w:rsidRDefault="00F32933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2933" w:rsidRPr="007454DE" w:rsidRDefault="00F32933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3CD1" w:rsidRDefault="00C93CD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3CD1" w:rsidRDefault="00F9585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4,0</w:t>
            </w:r>
          </w:p>
          <w:p w:rsidR="00F95851" w:rsidRPr="007454DE" w:rsidRDefault="00F9585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0,1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95851" w:rsidRDefault="00F9585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95851" w:rsidRPr="007454DE" w:rsidRDefault="00F9585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085646" w:rsidRPr="007454DE" w:rsidTr="007454DE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0709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41 596,6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5D34" w:rsidRPr="007454DE" w:rsidRDefault="00055D34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44 381,4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5D34" w:rsidRPr="007454DE" w:rsidRDefault="00055D34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43 774,</w:t>
            </w:r>
            <w:r w:rsidR="005A7EC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2933" w:rsidRPr="007454DE" w:rsidRDefault="00F32933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95851" w:rsidRPr="007454DE" w:rsidRDefault="00F9585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lang w:eastAsia="ru-RU"/>
              </w:rPr>
              <w:t>11,8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95851" w:rsidRPr="007454DE" w:rsidRDefault="00F9585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12,2</w:t>
            </w:r>
          </w:p>
        </w:tc>
      </w:tr>
      <w:tr w:rsidR="00085646" w:rsidRPr="007454DE" w:rsidTr="007454DE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lang w:eastAsia="ru-RU"/>
              </w:rPr>
              <w:t>353 985,6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305984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362 971,2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5A7EC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355 976,5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F32933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F32933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085646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46" w:rsidRPr="007454DE" w:rsidRDefault="00C93CD1" w:rsidP="0008564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</w:tr>
    </w:tbl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</w:p>
    <w:p w:rsidR="007454DE" w:rsidRPr="007454DE" w:rsidRDefault="007454DE" w:rsidP="00934A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0701 «Расходы по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дошкольному образованию»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на содержание детских дошкольных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учреждений были утверждены в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сумме </w:t>
      </w:r>
      <w:r w:rsidR="00934A63">
        <w:rPr>
          <w:rFonts w:ascii="Times New Roman" w:eastAsia="Times New Roman" w:hAnsi="Times New Roman" w:cs="Times New Roman"/>
          <w:sz w:val="28"/>
          <w:lang w:eastAsia="ru-RU"/>
        </w:rPr>
        <w:t>84 528,5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исполнено </w:t>
      </w:r>
      <w:r w:rsidR="00934A63">
        <w:rPr>
          <w:rFonts w:ascii="Times New Roman" w:eastAsia="Times New Roman" w:hAnsi="Times New Roman" w:cs="Times New Roman"/>
          <w:sz w:val="28"/>
          <w:lang w:eastAsia="ru-RU"/>
        </w:rPr>
        <w:t>81 509,9 тыс. рублей или 96,4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планового</w:t>
      </w:r>
      <w:r w:rsidR="00934A63">
        <w:rPr>
          <w:rFonts w:ascii="Times New Roman" w:eastAsia="Times New Roman" w:hAnsi="Times New Roman" w:cs="Times New Roman"/>
          <w:sz w:val="28"/>
          <w:lang w:eastAsia="ru-RU"/>
        </w:rPr>
        <w:t xml:space="preserve"> показателя.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</w:t>
      </w:r>
      <w:r w:rsidR="00934A63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уменьши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лись на </w:t>
      </w:r>
      <w:r w:rsidR="00934A63">
        <w:rPr>
          <w:rFonts w:ascii="Times New Roman" w:eastAsia="Times New Roman" w:hAnsi="Times New Roman" w:cs="Times New Roman"/>
          <w:sz w:val="28"/>
          <w:lang w:eastAsia="ru-RU"/>
        </w:rPr>
        <w:t>1 111,5 тыс. рублей или на 1,4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7454DE" w:rsidRPr="007454DE" w:rsidRDefault="007454DE" w:rsidP="007454DE">
      <w:pPr>
        <w:spacing w:after="0" w:line="240" w:lineRule="auto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 разделу 0702 «Расходы на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общее образование»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представлены расходами на содержание общеобразовательных школ района, детской юношеской спортивной школы, Дома детского творчества, детской школы искусств.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израсходовано бюджетных средств в сумме </w:t>
      </w:r>
      <w:r w:rsidR="00934A63">
        <w:rPr>
          <w:rFonts w:ascii="Times New Roman" w:eastAsia="Times New Roman" w:hAnsi="Times New Roman" w:cs="Times New Roman"/>
          <w:sz w:val="28"/>
          <w:lang w:eastAsia="ru-RU"/>
        </w:rPr>
        <w:t>214 123,0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при плане </w:t>
      </w:r>
      <w:r w:rsidR="00934A63">
        <w:rPr>
          <w:rFonts w:ascii="Times New Roman" w:eastAsia="Times New Roman" w:hAnsi="Times New Roman" w:cs="Times New Roman"/>
          <w:sz w:val="28"/>
          <w:lang w:eastAsia="ru-RU"/>
        </w:rPr>
        <w:t>216 535,1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34A63">
        <w:rPr>
          <w:rFonts w:ascii="Times New Roman" w:eastAsia="Times New Roman" w:hAnsi="Times New Roman" w:cs="Times New Roman"/>
          <w:sz w:val="28"/>
          <w:lang w:eastAsia="ru-RU"/>
        </w:rPr>
        <w:t>тыс. рублей, что составляет 98,9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</w:t>
      </w:r>
    </w:p>
    <w:p w:rsidR="007454DE" w:rsidRPr="007454DE" w:rsidRDefault="007454DE" w:rsidP="00934A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разделу 0707 «Мероприятия по оздоровлению детей».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</w:p>
    <w:p w:rsidR="007454DE" w:rsidRDefault="007454DE" w:rsidP="00934A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Расходы по данному </w:t>
      </w:r>
      <w:r w:rsidR="00934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разделу утверждены в сумме 557,6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рублей, исполнено </w:t>
      </w:r>
      <w:r w:rsidR="00934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19,7 тыс. рублей или 3,5</w:t>
      </w:r>
      <w:r w:rsidR="0040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%.</w:t>
      </w:r>
    </w:p>
    <w:p w:rsidR="004023F7" w:rsidRPr="007454DE" w:rsidRDefault="004023F7" w:rsidP="00934A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54DE" w:rsidRPr="007454DE" w:rsidRDefault="007454DE" w:rsidP="004023F7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разделу 0709 «Другие вопросы в области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образования»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</w:t>
      </w:r>
      <w:r w:rsidR="00D22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новые расходы составили 44 381,4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рублей, исполнено </w:t>
      </w:r>
      <w:r w:rsidR="00D22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43 774,2 тыс. рублей или 98,6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%. По данному разделу пред</w:t>
      </w:r>
      <w:r w:rsidR="00D22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ставлены расходы на содержание 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аппарата управления, Центра психолого- медико- социального сопровождения,</w:t>
      </w:r>
      <w:r w:rsidR="00494B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централизованной бухгалтерии, 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центра материального снабжения, </w:t>
      </w:r>
      <w:r w:rsidR="00A64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методкабинета 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расходами по предоставлению льгот по коммунальным платежам за </w:t>
      </w:r>
      <w:proofErr w:type="gramStart"/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жилье  </w:t>
      </w:r>
      <w:proofErr w:type="spellStart"/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педработникам</w:t>
      </w:r>
      <w:proofErr w:type="spellEnd"/>
      <w:proofErr w:type="gramEnd"/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7454D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7454DE" w:rsidRDefault="007454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08 «Культура и кинематография»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расходы составили </w:t>
      </w:r>
      <w:r w:rsidR="00D22C20">
        <w:rPr>
          <w:rFonts w:ascii="Times New Roman" w:eastAsia="Times New Roman" w:hAnsi="Times New Roman" w:cs="Times New Roman"/>
          <w:sz w:val="28"/>
          <w:lang w:eastAsia="ru-RU"/>
        </w:rPr>
        <w:t>32 150,3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при плане </w:t>
      </w:r>
      <w:r w:rsidR="00D22C20">
        <w:rPr>
          <w:rFonts w:ascii="Times New Roman" w:eastAsia="Times New Roman" w:hAnsi="Times New Roman" w:cs="Times New Roman"/>
          <w:sz w:val="28"/>
          <w:lang w:eastAsia="ru-RU"/>
        </w:rPr>
        <w:t>35 703,2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Основные расходы этой отрасли представлены расходами 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культуры, исполнением мероприятий по развитию и сохранению культурного наследия, исполнением мероприятий  по РЦП «Молодёжь», предоставление мер социальной поддержки по оплате жилья и коммунальных услуг гражданам, работающим в сельских учреждениях культуры и др. Удельный вес расходов по культуре в общем объёме расходов составляет 7,9%.</w:t>
      </w:r>
    </w:p>
    <w:p w:rsidR="00A643DE" w:rsidRDefault="00A643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43DE" w:rsidRDefault="00A643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43DE" w:rsidRDefault="00A643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43DE" w:rsidRDefault="00A643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43DE" w:rsidRPr="007454DE" w:rsidRDefault="00A643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в разрезе статей и подстатей КОСГУ по содержанию музея «</w:t>
      </w:r>
      <w:proofErr w:type="spellStart"/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Радогощ</w:t>
      </w:r>
      <w:proofErr w:type="spellEnd"/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представлены в следующей таблице:</w:t>
      </w:r>
    </w:p>
    <w:p w:rsidR="007454DE" w:rsidRPr="007454DE" w:rsidRDefault="007454DE" w:rsidP="007454DE">
      <w:pPr>
        <w:spacing w:after="200" w:line="276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spellStart"/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63"/>
        <w:gridCol w:w="992"/>
      </w:tblGrid>
      <w:tr w:rsidR="007454DE" w:rsidRPr="007454DE" w:rsidTr="007454DE">
        <w:trPr>
          <w:trHeight w:val="583"/>
        </w:trPr>
        <w:tc>
          <w:tcPr>
            <w:tcW w:w="2943" w:type="dxa"/>
            <w:vMerge w:val="restart"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7454DE" w:rsidRPr="007454DE" w:rsidRDefault="00507CD4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за 2019</w:t>
            </w:r>
            <w:r w:rsidR="007454DE"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gridSpan w:val="2"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бюджета в %</w:t>
            </w:r>
          </w:p>
        </w:tc>
        <w:tc>
          <w:tcPr>
            <w:tcW w:w="992" w:type="dxa"/>
            <w:shd w:val="clear" w:color="auto" w:fill="auto"/>
          </w:tcPr>
          <w:p w:rsidR="007454DE" w:rsidRPr="007454DE" w:rsidRDefault="007454DE" w:rsidP="007454DE">
            <w:pPr>
              <w:rPr>
                <w:rFonts w:ascii="Times New Roman" w:hAnsi="Times New Roman" w:cs="Times New Roman"/>
              </w:rPr>
            </w:pPr>
            <w:r w:rsidRPr="007454DE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7454DE" w:rsidRPr="007454DE" w:rsidTr="007454DE">
        <w:trPr>
          <w:trHeight w:val="237"/>
        </w:trPr>
        <w:tc>
          <w:tcPr>
            <w:tcW w:w="2943" w:type="dxa"/>
            <w:vMerge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плану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163" w:type="dxa"/>
          </w:tcPr>
          <w:p w:rsidR="007454DE" w:rsidRPr="007454DE" w:rsidRDefault="00507CD4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факту 2019</w:t>
            </w:r>
            <w:r w:rsidR="007454DE"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54DE" w:rsidRPr="007454DE" w:rsidRDefault="007454DE" w:rsidP="007454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07CD4" w:rsidRPr="007454DE" w:rsidTr="007454DE">
        <w:trPr>
          <w:trHeight w:val="385"/>
        </w:trPr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 «Заработная плата»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1 194,5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1 332,3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1 332,2</w:t>
            </w:r>
          </w:p>
        </w:tc>
        <w:tc>
          <w:tcPr>
            <w:tcW w:w="1134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111,5</w:t>
            </w:r>
          </w:p>
        </w:tc>
        <w:tc>
          <w:tcPr>
            <w:tcW w:w="992" w:type="dxa"/>
          </w:tcPr>
          <w:p w:rsidR="00507CD4" w:rsidRPr="007454DE" w:rsidRDefault="00DB085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507CD4" w:rsidRPr="007454DE" w:rsidTr="007454DE"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«Начисления на оплату труда»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F2A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1163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F2A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111,6</w:t>
            </w:r>
          </w:p>
        </w:tc>
        <w:tc>
          <w:tcPr>
            <w:tcW w:w="992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085A" w:rsidRPr="007454DE" w:rsidRDefault="00DB085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</w:tr>
      <w:tr w:rsidR="00507CD4" w:rsidRPr="007454DE" w:rsidTr="007454DE"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F2A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163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F2A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101,4</w:t>
            </w:r>
          </w:p>
        </w:tc>
        <w:tc>
          <w:tcPr>
            <w:tcW w:w="992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085A" w:rsidRPr="007454DE" w:rsidRDefault="00DB085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07CD4" w:rsidRPr="007454DE" w:rsidTr="007454DE"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298,2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413,6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346,8</w:t>
            </w:r>
          </w:p>
        </w:tc>
        <w:tc>
          <w:tcPr>
            <w:tcW w:w="1134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838,5</w:t>
            </w:r>
          </w:p>
        </w:tc>
        <w:tc>
          <w:tcPr>
            <w:tcW w:w="1163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116,3</w:t>
            </w:r>
          </w:p>
        </w:tc>
        <w:tc>
          <w:tcPr>
            <w:tcW w:w="992" w:type="dxa"/>
          </w:tcPr>
          <w:p w:rsidR="00507CD4" w:rsidRPr="007454DE" w:rsidRDefault="00DB085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14,7</w:t>
            </w:r>
          </w:p>
        </w:tc>
      </w:tr>
      <w:tr w:rsidR="00507CD4" w:rsidRPr="007454DE" w:rsidTr="007454DE"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 раза</w:t>
            </w:r>
          </w:p>
        </w:tc>
        <w:tc>
          <w:tcPr>
            <w:tcW w:w="992" w:type="dxa"/>
          </w:tcPr>
          <w:p w:rsidR="00507CD4" w:rsidRPr="007454DE" w:rsidRDefault="00DB085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507CD4" w:rsidRPr="007454DE" w:rsidTr="007454DE"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 «Прочие услуги»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104,9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507CD4" w:rsidRPr="007454DE" w:rsidRDefault="00DB085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507CD4" w:rsidRPr="007454DE" w:rsidTr="007454DE"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«Прочие расходы»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1163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:rsidR="00507CD4" w:rsidRPr="007454DE" w:rsidRDefault="00DB085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07CD4" w:rsidRPr="007454DE" w:rsidTr="007454DE"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F2A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 раза</w:t>
            </w:r>
          </w:p>
        </w:tc>
        <w:tc>
          <w:tcPr>
            <w:tcW w:w="992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085A" w:rsidRPr="007454DE" w:rsidRDefault="00DB085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507CD4" w:rsidRPr="007454DE" w:rsidTr="007454DE"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7CD4" w:rsidRDefault="00507CD4" w:rsidP="00507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D4" w:rsidRPr="007454DE" w:rsidRDefault="00507CD4" w:rsidP="00507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F2A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992" w:type="dxa"/>
          </w:tcPr>
          <w:p w:rsidR="00507CD4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085A" w:rsidRPr="007454DE" w:rsidRDefault="00DB085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07CD4" w:rsidRPr="007454DE" w:rsidTr="007454DE">
        <w:tc>
          <w:tcPr>
            <w:tcW w:w="2943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2 140,7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2 442,9</w:t>
            </w:r>
          </w:p>
        </w:tc>
        <w:tc>
          <w:tcPr>
            <w:tcW w:w="1134" w:type="dxa"/>
          </w:tcPr>
          <w:p w:rsidR="00507CD4" w:rsidRPr="007454DE" w:rsidRDefault="00507CD4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2 357,5</w:t>
            </w:r>
          </w:p>
        </w:tc>
        <w:tc>
          <w:tcPr>
            <w:tcW w:w="1134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1163" w:type="dxa"/>
          </w:tcPr>
          <w:p w:rsidR="00507CD4" w:rsidRPr="007454DE" w:rsidRDefault="003C7F2A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110,1</w:t>
            </w:r>
          </w:p>
        </w:tc>
        <w:tc>
          <w:tcPr>
            <w:tcW w:w="992" w:type="dxa"/>
          </w:tcPr>
          <w:p w:rsidR="00507CD4" w:rsidRPr="007454DE" w:rsidRDefault="00D52332" w:rsidP="00507C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7550A7" w:rsidRDefault="007550A7" w:rsidP="007454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4DE" w:rsidRPr="007454DE" w:rsidRDefault="007454DE" w:rsidP="00A643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4DE">
        <w:rPr>
          <w:rFonts w:ascii="Times New Roman" w:hAnsi="Times New Roman" w:cs="Times New Roman"/>
          <w:sz w:val="28"/>
          <w:szCs w:val="28"/>
        </w:rPr>
        <w:t xml:space="preserve">Штатная численность на </w:t>
      </w:r>
      <w:r w:rsidR="007550A7">
        <w:rPr>
          <w:rFonts w:ascii="Times New Roman" w:hAnsi="Times New Roman" w:cs="Times New Roman"/>
          <w:sz w:val="28"/>
          <w:szCs w:val="28"/>
        </w:rPr>
        <w:t>01.01.2021</w:t>
      </w:r>
      <w:r w:rsidRPr="007454D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550A7">
        <w:rPr>
          <w:rFonts w:ascii="Times New Roman" w:hAnsi="Times New Roman" w:cs="Times New Roman"/>
          <w:sz w:val="28"/>
          <w:szCs w:val="28"/>
        </w:rPr>
        <w:t>5 единиц, в том числе внешних совместителей 2 единицы</w:t>
      </w:r>
      <w:r w:rsidRPr="007454DE">
        <w:rPr>
          <w:rFonts w:ascii="Times New Roman" w:hAnsi="Times New Roman" w:cs="Times New Roman"/>
          <w:sz w:val="28"/>
          <w:szCs w:val="28"/>
        </w:rPr>
        <w:t>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4DE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по обеспечению деятельности музея «</w:t>
      </w:r>
      <w:proofErr w:type="spellStart"/>
      <w:proofErr w:type="gramStart"/>
      <w:r w:rsidRPr="007454DE">
        <w:rPr>
          <w:rFonts w:ascii="Times New Roman" w:hAnsi="Times New Roman" w:cs="Times New Roman"/>
          <w:sz w:val="28"/>
          <w:szCs w:val="28"/>
        </w:rPr>
        <w:t>Радогощ</w:t>
      </w:r>
      <w:proofErr w:type="spellEnd"/>
      <w:r w:rsidRPr="007454DE">
        <w:rPr>
          <w:rFonts w:ascii="Times New Roman" w:hAnsi="Times New Roman" w:cs="Times New Roman"/>
          <w:sz w:val="28"/>
          <w:szCs w:val="28"/>
        </w:rPr>
        <w:t>»  в</w:t>
      </w:r>
      <w:proofErr w:type="gramEnd"/>
      <w:r w:rsidRPr="007454DE">
        <w:rPr>
          <w:rFonts w:ascii="Times New Roman" w:hAnsi="Times New Roman" w:cs="Times New Roman"/>
          <w:sz w:val="28"/>
          <w:szCs w:val="28"/>
        </w:rPr>
        <w:t xml:space="preserve"> разрезе статей и подстатей КОСГУ составили:   </w:t>
      </w:r>
    </w:p>
    <w:p w:rsidR="007454DE" w:rsidRPr="007454DE" w:rsidRDefault="00A643DE" w:rsidP="007454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4DE" w:rsidRPr="007454DE">
        <w:rPr>
          <w:rFonts w:ascii="Times New Roman" w:hAnsi="Times New Roman" w:cs="Times New Roman"/>
          <w:sz w:val="28"/>
          <w:szCs w:val="28"/>
        </w:rPr>
        <w:t xml:space="preserve"> статьи 211-213 «Расходы по опл</w:t>
      </w:r>
      <w:r w:rsidR="007550A7">
        <w:rPr>
          <w:rFonts w:ascii="Times New Roman" w:hAnsi="Times New Roman" w:cs="Times New Roman"/>
          <w:sz w:val="28"/>
          <w:szCs w:val="28"/>
        </w:rPr>
        <w:t>ате труда с начислениями» – 73,5</w:t>
      </w:r>
      <w:r>
        <w:rPr>
          <w:rFonts w:ascii="Times New Roman" w:hAnsi="Times New Roman" w:cs="Times New Roman"/>
          <w:sz w:val="28"/>
          <w:szCs w:val="28"/>
        </w:rPr>
        <w:t>%;</w:t>
      </w:r>
      <w:r w:rsidR="007454DE" w:rsidRPr="007454D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4DE">
        <w:rPr>
          <w:rFonts w:ascii="Times New Roman" w:hAnsi="Times New Roman" w:cs="Times New Roman"/>
          <w:sz w:val="28"/>
          <w:szCs w:val="28"/>
        </w:rPr>
        <w:t xml:space="preserve">    статьи 221-226 «Расходы п</w:t>
      </w:r>
      <w:r w:rsidR="00A643DE">
        <w:rPr>
          <w:rFonts w:ascii="Times New Roman" w:hAnsi="Times New Roman" w:cs="Times New Roman"/>
          <w:sz w:val="28"/>
          <w:szCs w:val="28"/>
        </w:rPr>
        <w:t>о содержанию имущества»</w:t>
      </w:r>
      <w:r w:rsidR="007550A7">
        <w:rPr>
          <w:rFonts w:ascii="Times New Roman" w:hAnsi="Times New Roman" w:cs="Times New Roman"/>
          <w:sz w:val="28"/>
          <w:szCs w:val="28"/>
        </w:rPr>
        <w:t xml:space="preserve"> - 23,3</w:t>
      </w:r>
      <w:r w:rsidRPr="007454DE">
        <w:rPr>
          <w:rFonts w:ascii="Times New Roman" w:hAnsi="Times New Roman" w:cs="Times New Roman"/>
          <w:sz w:val="28"/>
          <w:szCs w:val="28"/>
        </w:rPr>
        <w:t>%.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4DE">
        <w:rPr>
          <w:rFonts w:ascii="Times New Roman" w:hAnsi="Times New Roman" w:cs="Times New Roman"/>
          <w:sz w:val="28"/>
          <w:szCs w:val="28"/>
        </w:rPr>
        <w:t xml:space="preserve">   статьи (310-340) «Увеличение стоимости основных средств и материальных запасов» в с</w:t>
      </w:r>
      <w:r w:rsidR="007550A7">
        <w:rPr>
          <w:rFonts w:ascii="Times New Roman" w:hAnsi="Times New Roman" w:cs="Times New Roman"/>
          <w:sz w:val="28"/>
          <w:szCs w:val="28"/>
        </w:rPr>
        <w:t>труктуре расходов приходится 2,4</w:t>
      </w:r>
      <w:r w:rsidRPr="007454DE">
        <w:rPr>
          <w:rFonts w:ascii="Times New Roman" w:hAnsi="Times New Roman" w:cs="Times New Roman"/>
          <w:sz w:val="28"/>
          <w:szCs w:val="28"/>
        </w:rPr>
        <w:t>%.</w:t>
      </w:r>
    </w:p>
    <w:p w:rsidR="007454DE" w:rsidRPr="007454DE" w:rsidRDefault="007454DE" w:rsidP="00745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4DE">
        <w:rPr>
          <w:rFonts w:ascii="Times New Roman" w:hAnsi="Times New Roman" w:cs="Times New Roman"/>
          <w:sz w:val="28"/>
          <w:szCs w:val="28"/>
        </w:rPr>
        <w:t xml:space="preserve">Собственные доходы учреждения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454DE">
        <w:rPr>
          <w:rFonts w:ascii="Times New Roman" w:hAnsi="Times New Roman" w:cs="Times New Roman"/>
          <w:sz w:val="28"/>
          <w:szCs w:val="28"/>
        </w:rPr>
        <w:t xml:space="preserve"> г. составили </w:t>
      </w:r>
      <w:r w:rsidR="00A643DE">
        <w:rPr>
          <w:rFonts w:ascii="Times New Roman" w:hAnsi="Times New Roman" w:cs="Times New Roman"/>
          <w:sz w:val="28"/>
          <w:szCs w:val="28"/>
        </w:rPr>
        <w:t>68 000,00 рублей</w:t>
      </w:r>
      <w:r w:rsidRPr="007454DE">
        <w:rPr>
          <w:rFonts w:ascii="Times New Roman" w:hAnsi="Times New Roman" w:cs="Times New Roman"/>
          <w:sz w:val="28"/>
          <w:szCs w:val="28"/>
        </w:rPr>
        <w:t>.</w:t>
      </w:r>
    </w:p>
    <w:p w:rsidR="007454DE" w:rsidRPr="007454DE" w:rsidRDefault="007454DE" w:rsidP="007454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DE" w:rsidRPr="007454DE" w:rsidRDefault="007454DE" w:rsidP="00C90394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Расходы раздела 10 «Социальная политика»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17 744,9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при плане 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>25 396,3 тыс. рублей или 69,9% и к уровню 2019</w:t>
      </w:r>
      <w:r w:rsidR="00083972">
        <w:rPr>
          <w:rFonts w:ascii="Times New Roman" w:eastAsia="Times New Roman" w:hAnsi="Times New Roman" w:cs="Times New Roman"/>
          <w:sz w:val="28"/>
          <w:lang w:eastAsia="ru-RU"/>
        </w:rPr>
        <w:t xml:space="preserve"> года они уменьшились на 673,1 тыс. руб. или на 3,7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расходов по социальной политике видна из таблицы: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2268"/>
        <w:gridCol w:w="2205"/>
      </w:tblGrid>
      <w:tr w:rsidR="007454DE" w:rsidRPr="007454DE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Объём расходов по отрасли </w:t>
            </w: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Рост к предыдущему году </w:t>
            </w:r>
          </w:p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 %).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</w:t>
            </w:r>
          </w:p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(в %)</w:t>
            </w:r>
          </w:p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общем объёме расходов  </w:t>
            </w:r>
          </w:p>
        </w:tc>
      </w:tr>
      <w:tr w:rsidR="007454DE" w:rsidRPr="007454DE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24 731,5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5,9</w:t>
            </w:r>
          </w:p>
        </w:tc>
      </w:tr>
      <w:tr w:rsidR="007454DE" w:rsidRPr="007454DE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2015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21 986,1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4,7</w:t>
            </w:r>
          </w:p>
        </w:tc>
      </w:tr>
      <w:tr w:rsidR="007454DE" w:rsidRPr="007454DE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23 007,1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4,8</w:t>
            </w:r>
          </w:p>
        </w:tc>
      </w:tr>
      <w:tr w:rsidR="007454DE" w:rsidRPr="007454DE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21 539,2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4,2</w:t>
            </w:r>
          </w:p>
        </w:tc>
      </w:tr>
      <w:tr w:rsidR="007454DE" w:rsidRPr="007454DE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22 208,7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4,6</w:t>
            </w:r>
          </w:p>
        </w:tc>
      </w:tr>
      <w:tr w:rsidR="007454DE" w:rsidRPr="007454DE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984749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18 418,0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3,6</w:t>
            </w:r>
          </w:p>
        </w:tc>
      </w:tr>
      <w:tr w:rsidR="00984749" w:rsidRPr="007454DE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749" w:rsidRDefault="00984749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17 744,9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3,5</w:t>
            </w:r>
          </w:p>
        </w:tc>
      </w:tr>
    </w:tbl>
    <w:p w:rsidR="007454DE" w:rsidRPr="007454DE" w:rsidRDefault="007454DE" w:rsidP="009847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Социальные расходы представлены следующими расходами:</w:t>
      </w:r>
    </w:p>
    <w:p w:rsidR="007454DE" w:rsidRPr="007454DE" w:rsidRDefault="007454DE" w:rsidP="007454D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финансирование расходов по разделу "Социальная политика" направлено бюджетных средств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сумме 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>17 744 858,26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>25 396 298,86 рублей, что составляет 69,9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>% к плану.</w:t>
      </w:r>
    </w:p>
    <w:p w:rsidR="007454DE" w:rsidRPr="007454DE" w:rsidRDefault="007454DE" w:rsidP="00494BFB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по подразделу 1001 "Пенсионное обеспечение" на выплату доплаты в районе к пенсиям муниципальных служащих направл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>ено средств в сумме 6 227 017,85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>6 227 018,00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7454DE" w:rsidRPr="00494BFB" w:rsidRDefault="007454DE" w:rsidP="00494B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по подразделу 1003 «Социальное обеспечение населения» исполнено 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>149 808,00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>239 808,00 рублей.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54DE" w:rsidRPr="007454DE" w:rsidRDefault="007454DE" w:rsidP="00494B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по подразделу 1004 "Охрана семьи и детства" исполнено 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 xml:space="preserve">9 788 550,41 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при плане 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>17 328 990,86 рублей.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454DE" w:rsidRPr="007454DE" w:rsidRDefault="007454DE" w:rsidP="00494B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по подразделу 1006 " Другие вопросы в области социальной политики" исполнено 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>1 579 482,00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>1 600 482,00 рублей.</w:t>
      </w:r>
    </w:p>
    <w:p w:rsidR="007454DE" w:rsidRPr="007454DE" w:rsidRDefault="007454DE" w:rsidP="0074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494B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разделу 11 «Физическая культура и спорт» 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году,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расходы произведены в сумме </w:t>
      </w:r>
      <w:r w:rsidR="00AB00C1">
        <w:rPr>
          <w:rFonts w:ascii="Times New Roman" w:eastAsia="Times New Roman" w:hAnsi="Times New Roman" w:cs="Times New Roman"/>
          <w:sz w:val="28"/>
          <w:lang w:eastAsia="ru-RU"/>
        </w:rPr>
        <w:t>10 692,5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</w:t>
      </w:r>
      <w:r w:rsidR="00AB00C1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 плана составило 99,9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7454DE" w:rsidRPr="007454DE" w:rsidRDefault="007454DE" w:rsidP="00AB00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МАУ СЦ «Одиссей»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направлено 10 400 559,84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10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> 412 219,00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99,9%.</w:t>
      </w:r>
    </w:p>
    <w:p w:rsidR="007454DE" w:rsidRDefault="007454DE" w:rsidP="00AB0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муниципальной программы «Развитие физической культуры и спорта в Погарском районе (2015-2020 годы)» средс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>тва исполнены в сумме 291 966,84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>ей при плане 292 075,43 рублей.</w:t>
      </w:r>
    </w:p>
    <w:p w:rsidR="00AB00C1" w:rsidRPr="00AB00C1" w:rsidRDefault="00AB00C1" w:rsidP="00AB0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DE" w:rsidRPr="007454DE" w:rsidRDefault="007454DE" w:rsidP="00F30E81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3DE">
        <w:rPr>
          <w:rFonts w:ascii="Times New Roman" w:eastAsia="Times New Roman" w:hAnsi="Times New Roman" w:cs="Times New Roman"/>
          <w:sz w:val="28"/>
          <w:lang w:eastAsia="ru-RU"/>
        </w:rPr>
        <w:t>Кредитор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 xml:space="preserve">ская задолженность на начало года составила 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>534,3</w:t>
      </w:r>
      <w:r w:rsidRPr="00A643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643DE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>., на конец отчётн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>ого периода составила 525,7 тыс. рублей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>, дебиторская задолженность на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 xml:space="preserve"> начало года составила 883,0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конец отчёт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>ного периода составила 954,1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</w:t>
      </w:r>
    </w:p>
    <w:p w:rsidR="007454DE" w:rsidRPr="007454DE" w:rsidRDefault="007454DE" w:rsidP="002E46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Решением Погарского районного Совета народных депута</w:t>
      </w:r>
      <w:r w:rsidR="00C4593E">
        <w:rPr>
          <w:rFonts w:ascii="Times New Roman" w:eastAsia="Times New Roman" w:hAnsi="Times New Roman" w:cs="Times New Roman"/>
          <w:sz w:val="28"/>
          <w:lang w:eastAsia="ru-RU"/>
        </w:rPr>
        <w:t>тов от 06.12.2019 года №6-41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«О бюджете муниципального образования «Погарский район»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C4593E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годов», бюджет был утверждён бездефицитным. В течение года, бюджет уточнялся, был изменён и утверждён решением Погарского районного Совета народных депутатов.</w:t>
      </w:r>
    </w:p>
    <w:p w:rsidR="007454DE" w:rsidRPr="007454DE" w:rsidRDefault="007454DE" w:rsidP="00C4593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Исполнение расходов бюджета Погарского района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по ведомственной структуре бюджета, осуществлялось путём зачисления бюджетных средств на лицевые счета главных распорядителей средств бюджета района. Распределение расходов произведено в соответствии с решением Погарского районного Совета народных депутатов «О бюджете </w:t>
      </w:r>
      <w:r w:rsidR="00C4593E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</w:t>
      </w:r>
      <w:r w:rsidR="00C4593E">
        <w:rPr>
          <w:rFonts w:ascii="Times New Roman" w:eastAsia="Times New Roman" w:hAnsi="Times New Roman" w:cs="Times New Roman"/>
          <w:sz w:val="28"/>
          <w:lang w:eastAsia="ru-RU"/>
        </w:rPr>
        <w:t xml:space="preserve">Брянской области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</w:t>
      </w:r>
      <w:r w:rsidR="00C4593E">
        <w:rPr>
          <w:rFonts w:ascii="Times New Roman" w:eastAsia="Times New Roman" w:hAnsi="Times New Roman" w:cs="Times New Roman"/>
          <w:sz w:val="28"/>
          <w:lang w:eastAsia="ru-RU"/>
        </w:rPr>
        <w:t>2021 и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годов». </w:t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об исполнении расходов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по ведомственной структуре представлена в следующей таблице: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99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1381"/>
        <w:gridCol w:w="1521"/>
        <w:gridCol w:w="1529"/>
        <w:gridCol w:w="1363"/>
        <w:gridCol w:w="1363"/>
      </w:tblGrid>
      <w:tr w:rsidR="007454DE" w:rsidRPr="007454DE" w:rsidTr="007454DE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4DE" w:rsidRPr="007454DE" w:rsidRDefault="00C459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2019</w:t>
            </w:r>
            <w:r w:rsidR="007454DE"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Уточнённый бюджет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плана 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7454DE" w:rsidRPr="007454DE" w:rsidRDefault="00C4593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</w:t>
            </w:r>
          </w:p>
        </w:tc>
      </w:tr>
      <w:tr w:rsidR="00C4593E" w:rsidRPr="007454DE" w:rsidTr="007454DE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Погарского района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139 886,0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3E" w:rsidRPr="007454DE" w:rsidRDefault="00403D11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139 885,1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D11" w:rsidRPr="007454DE" w:rsidRDefault="00403D11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124 878,3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DCB" w:rsidRPr="007454DE" w:rsidRDefault="00EE7DCB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DCB" w:rsidRPr="007454DE" w:rsidRDefault="00390CE5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C4593E" w:rsidRPr="007454DE" w:rsidTr="007454DE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1 496,0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F8" w:rsidRPr="007454DE" w:rsidRDefault="00164AF8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1 663,6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F8" w:rsidRPr="007454DE" w:rsidRDefault="00164AF8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1 658,2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DCB" w:rsidRPr="007454DE" w:rsidRDefault="00EE7DCB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0CE5" w:rsidRPr="007454DE" w:rsidRDefault="00390CE5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C4593E" w:rsidRPr="007454DE" w:rsidTr="007454DE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354 813,6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F8" w:rsidRDefault="00164AF8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F8" w:rsidRPr="007454DE" w:rsidRDefault="00164AF8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365 438,8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F8" w:rsidRDefault="00164AF8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F8" w:rsidRPr="007454DE" w:rsidRDefault="00164AF8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356 984,7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DCB" w:rsidRDefault="00EE7DCB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DCB" w:rsidRPr="007454DE" w:rsidRDefault="00EE7DCB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0CE5" w:rsidRDefault="00390CE5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0CE5" w:rsidRPr="007454DE" w:rsidRDefault="00390CE5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4593E" w:rsidRPr="007454DE" w:rsidTr="007454DE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2 723,9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5A2" w:rsidRPr="007454DE" w:rsidRDefault="006545A2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2 987,6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5A2" w:rsidRPr="007454DE" w:rsidRDefault="006545A2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2 918,0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DCB" w:rsidRPr="007454DE" w:rsidRDefault="00EE7DCB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0CE5" w:rsidRPr="007454DE" w:rsidRDefault="00390CE5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C4593E" w:rsidRPr="007454DE" w:rsidTr="007454DE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администрации Погарского района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12 572,8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5A2" w:rsidRPr="007454DE" w:rsidRDefault="006545A2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27 909,0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5A2" w:rsidRPr="007454DE" w:rsidRDefault="006545A2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27 616,4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DCB" w:rsidRPr="007454DE" w:rsidRDefault="00EE7DCB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0CE5" w:rsidRPr="007454DE" w:rsidRDefault="00390CE5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 раза</w:t>
            </w:r>
          </w:p>
        </w:tc>
      </w:tr>
      <w:tr w:rsidR="00C4593E" w:rsidRPr="007454DE" w:rsidTr="007454DE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 счетная палата Погарского района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1 190,5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D11" w:rsidRDefault="00403D11" w:rsidP="00403D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D11" w:rsidRPr="007454DE" w:rsidRDefault="00403D11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D11" w:rsidRPr="007454DE" w:rsidRDefault="00403D11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289,9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DCB" w:rsidRPr="007454DE" w:rsidRDefault="00EE7DCB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0CE5" w:rsidRPr="007454DE" w:rsidRDefault="00390CE5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C4593E" w:rsidRPr="007454DE" w:rsidTr="007454DE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593E" w:rsidRPr="007454D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512 682,8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3D11" w:rsidRPr="007454DE" w:rsidRDefault="00403D11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539 231,9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3D11" w:rsidRPr="007454DE" w:rsidRDefault="00660F49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515 345,6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7DCB" w:rsidRPr="007454DE" w:rsidRDefault="00EE7DCB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93E" w:rsidRDefault="00C4593E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0CE5" w:rsidRPr="007454DE" w:rsidRDefault="00390CE5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100,5</w:t>
            </w:r>
          </w:p>
        </w:tc>
      </w:tr>
    </w:tbl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54DE" w:rsidRPr="007454DE" w:rsidRDefault="007454DE" w:rsidP="00DB430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Информация, представленная в настоящем заключении об исполнении бюджета Погарского района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разрезе ведомственной структуры расходов бюджета района, изложена на основании внешней проверки отчётности главных распорядителей бюджетных средств районного бюджета.</w:t>
      </w: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Выводы: </w:t>
      </w:r>
    </w:p>
    <w:p w:rsidR="007454DE" w:rsidRPr="00ED287B" w:rsidRDefault="007454DE" w:rsidP="00ED287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D287B">
        <w:rPr>
          <w:rFonts w:ascii="Times New Roman" w:eastAsia="Times New Roman" w:hAnsi="Times New Roman" w:cs="Times New Roman"/>
          <w:sz w:val="28"/>
          <w:lang w:eastAsia="ru-RU"/>
        </w:rPr>
        <w:t>Бюджетная политика в регионе, как и в предшествующие периоды,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целями и в условиях жёсткой экономии бюджетных средств.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Налоговых доходов пос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>тупило в бюджет района 160 830,5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при плане 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>154 691,3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 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Налога на доходы физических лиц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в б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юджет района поступило 135 245,5 </w:t>
      </w:r>
      <w:proofErr w:type="spellStart"/>
      <w:r w:rsidR="00ED61A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., что на 18 181,9 </w:t>
      </w:r>
      <w:proofErr w:type="spellStart"/>
      <w:r w:rsidR="00ED61A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ED61A5">
        <w:rPr>
          <w:rFonts w:ascii="Times New Roman" w:eastAsia="Times New Roman" w:hAnsi="Times New Roman" w:cs="Times New Roman"/>
          <w:sz w:val="28"/>
          <w:lang w:eastAsia="ru-RU"/>
        </w:rPr>
        <w:t>. или на 15,5% 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Его удельный вес в структуре с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>обственных доходов составил 80,0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Доходов от уплаты акцизов на ГСМ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855C1D">
        <w:rPr>
          <w:rFonts w:ascii="Times New Roman" w:eastAsia="Times New Roman" w:hAnsi="Times New Roman" w:cs="Times New Roman"/>
          <w:sz w:val="28"/>
          <w:lang w:eastAsia="ru-RU"/>
        </w:rPr>
        <w:t xml:space="preserve"> году поступило 13 103,5</w:t>
      </w:r>
      <w:r w:rsidR="00F47C1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10,7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47C1B"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запланированного показателя и на</w:t>
      </w:r>
      <w:r w:rsidR="00F47C1B">
        <w:rPr>
          <w:rFonts w:ascii="Times New Roman" w:eastAsia="Times New Roman" w:hAnsi="Times New Roman" w:cs="Times New Roman"/>
          <w:sz w:val="28"/>
          <w:lang w:eastAsia="ru-RU"/>
        </w:rPr>
        <w:t xml:space="preserve"> 885,7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47C1B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</w:t>
      </w:r>
      <w:r w:rsidR="00830EED"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 w:rsidR="00F47C1B">
        <w:rPr>
          <w:rFonts w:ascii="Times New Roman" w:eastAsia="Times New Roman" w:hAnsi="Times New Roman" w:cs="Times New Roman"/>
          <w:sz w:val="28"/>
          <w:lang w:eastAsia="ru-RU"/>
        </w:rPr>
        <w:t xml:space="preserve"> факта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Единого налога на в</w:t>
      </w:r>
      <w:r w:rsidR="00830EED">
        <w:rPr>
          <w:rFonts w:ascii="Times New Roman" w:eastAsia="Times New Roman" w:hAnsi="Times New Roman" w:cs="Times New Roman"/>
          <w:sz w:val="28"/>
          <w:lang w:eastAsia="ru-RU"/>
        </w:rPr>
        <w:t xml:space="preserve">мененный доход поступило 7 135,5 </w:t>
      </w:r>
      <w:proofErr w:type="spellStart"/>
      <w:r w:rsidR="00830EED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30EED">
        <w:rPr>
          <w:rFonts w:ascii="Times New Roman" w:eastAsia="Times New Roman" w:hAnsi="Times New Roman" w:cs="Times New Roman"/>
          <w:sz w:val="28"/>
          <w:lang w:eastAsia="ru-RU"/>
        </w:rPr>
        <w:t xml:space="preserve">., что на 2 164,8 </w:t>
      </w:r>
      <w:proofErr w:type="spellStart"/>
      <w:r w:rsidR="00830EED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30EED">
        <w:rPr>
          <w:rFonts w:ascii="Times New Roman" w:eastAsia="Times New Roman" w:hAnsi="Times New Roman" w:cs="Times New Roman"/>
          <w:sz w:val="28"/>
          <w:lang w:eastAsia="ru-RU"/>
        </w:rPr>
        <w:t>. или на 23,3% ниже, чем в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году.</w:t>
      </w:r>
    </w:p>
    <w:p w:rsidR="007454DE" w:rsidRPr="00F03021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3021">
        <w:rPr>
          <w:rFonts w:ascii="Times New Roman" w:eastAsia="Times New Roman" w:hAnsi="Times New Roman" w:cs="Times New Roman"/>
          <w:sz w:val="28"/>
          <w:lang w:eastAsia="ru-RU"/>
        </w:rPr>
        <w:t>Единого сельхозналога в бюджет района в 2020</w:t>
      </w:r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году поступило 3 276,6 </w:t>
      </w:r>
      <w:proofErr w:type="spellStart"/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., что на 1 248,7 </w:t>
      </w:r>
      <w:proofErr w:type="spellStart"/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>. или на 61,6% выше, по сравнению с 2019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госпошлины в р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>айонный бюджет поступило 1 953,0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3,7 </w:t>
      </w:r>
      <w:proofErr w:type="spellStart"/>
      <w:r w:rsid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F03021">
        <w:rPr>
          <w:rFonts w:ascii="Times New Roman" w:eastAsia="Times New Roman" w:hAnsi="Times New Roman" w:cs="Times New Roman"/>
          <w:sz w:val="28"/>
          <w:lang w:eastAsia="ru-RU"/>
        </w:rPr>
        <w:t>. или на 0,2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>ниже,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Платежей по арендной плате за земель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>ные участки поступило на 4 836,5 тыс. руб. или на 44,4% выше,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Доходов от сдачи в аренду имущества, находящегося в муниципальной собственности,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 в районный бюджет поступило 556,2 тыс. рублей, что на 30,4 тыс. рублей или на 5,8% 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 в бюджет района поступило 164,3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руб. платежей за негативное воздействие н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а окружающую среду, что на 59,3 </w:t>
      </w:r>
      <w:proofErr w:type="spellStart"/>
      <w:r w:rsid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F03021">
        <w:rPr>
          <w:rFonts w:ascii="Times New Roman" w:eastAsia="Times New Roman" w:hAnsi="Times New Roman" w:cs="Times New Roman"/>
          <w:sz w:val="28"/>
          <w:lang w:eastAsia="ru-RU"/>
        </w:rPr>
        <w:t>. или на 26,5% ниже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бюд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жет района поступило 844,6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DF4CE8">
        <w:rPr>
          <w:rFonts w:ascii="Times New Roman" w:eastAsia="Times New Roman" w:hAnsi="Times New Roman" w:cs="Times New Roman"/>
          <w:sz w:val="28"/>
          <w:lang w:eastAsia="ru-RU"/>
        </w:rPr>
        <w:t xml:space="preserve">. штрафных санкций, что на 336,5 </w:t>
      </w:r>
      <w:proofErr w:type="spellStart"/>
      <w:r w:rsidR="00DF4CE8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DF4CE8">
        <w:rPr>
          <w:rFonts w:ascii="Times New Roman" w:eastAsia="Times New Roman" w:hAnsi="Times New Roman" w:cs="Times New Roman"/>
          <w:sz w:val="28"/>
          <w:lang w:eastAsia="ru-RU"/>
        </w:rPr>
        <w:t>. или на 28,5% ниже, чем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Безвозмездные поступления из вышестоящих бюджетов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361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 xml:space="preserve"> 890,8 тыс.. руб.,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 том числе: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дотаций поступило 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80 633,9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уб</w:t>
      </w:r>
      <w:proofErr w:type="spellEnd"/>
      <w:r w:rsidR="00DF4CE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субсидий 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поступило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14 087,3 тыс. рублей, прочих субсидий поступило 7 675,8 тыс. рублей;</w:t>
      </w:r>
    </w:p>
    <w:p w:rsidR="007454DE" w:rsidRPr="007454DE" w:rsidRDefault="00DF4CE8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 субвенций поступило 240 282,7 тыс. рублей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иные межбюджетные трансферты поступили в сумме 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26 886,9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Всего доходы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исполнены на 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99,4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от планового 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показателя и составили 530 932,1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>17 972,6 тыс. рублей или на 3,5% 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районного бюджета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515 345,5 тыс. рублей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или 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>95,6%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>планового показателя, что на 0,5% или на 2 662,7 тыс. рублей 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Исполнение расходов в разрезе разделов бюджетной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классификации сложилось от 69,9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до 100,0% плана.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 01 «Общегосударственные вопр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осы» исполнены </w:t>
      </w:r>
      <w:proofErr w:type="gramStart"/>
      <w:r w:rsidR="00947FD3">
        <w:rPr>
          <w:rFonts w:ascii="Times New Roman" w:eastAsia="Times New Roman" w:hAnsi="Times New Roman" w:cs="Times New Roman"/>
          <w:sz w:val="28"/>
          <w:lang w:eastAsia="ru-RU"/>
        </w:rPr>
        <w:t>в  сумме</w:t>
      </w:r>
      <w:proofErr w:type="gramEnd"/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46 789,4 </w:t>
      </w:r>
      <w:proofErr w:type="spellStart"/>
      <w:r w:rsidR="00947FD3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947FD3">
        <w:rPr>
          <w:rFonts w:ascii="Times New Roman" w:eastAsia="Times New Roman" w:hAnsi="Times New Roman" w:cs="Times New Roman"/>
          <w:sz w:val="28"/>
          <w:lang w:eastAsia="ru-RU"/>
        </w:rPr>
        <w:t>. или на 97,3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плана. Их удельный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вес в структуре расходов в 2020 году составил 9,1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 02 «Национальная об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>орона» исполнены в сумме 1 199,9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 План исполнен на 100,0%. По данному р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>азделу расходы увеличены на 89,6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по сравнению с предыдущим периодом.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 03 «Национальная безопасность и правоохранительная деятель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>ность» исполнены в сумме 3 127,0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или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98,2% от плана. Это расходы, связанные с содержанием единой диспетчерской службы и направлением средств резервного фонда администрации района на обеспечение противопожарной безопасности.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Расходы по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разделу  04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«Национальная эконо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мика» исполнены в сумме 23 807,5 </w:t>
      </w:r>
      <w:proofErr w:type="spellStart"/>
      <w:r w:rsidR="00947FD3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947FD3">
        <w:rPr>
          <w:rFonts w:ascii="Times New Roman" w:eastAsia="Times New Roman" w:hAnsi="Times New Roman" w:cs="Times New Roman"/>
          <w:sz w:val="28"/>
          <w:lang w:eastAsia="ru-RU"/>
        </w:rPr>
        <w:t>. или 86,0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от плана и на 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>1 075,3 тыс. рублей 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Их удельный вес в структуре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расходов  в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 4,6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по  разделу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05 «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Жилищно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- коммунальное хозяйство» исп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олнены в сумме 2 362,9 </w:t>
      </w:r>
      <w:proofErr w:type="spellStart"/>
      <w:r w:rsidR="00947FD3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947FD3">
        <w:rPr>
          <w:rFonts w:ascii="Times New Roman" w:eastAsia="Times New Roman" w:hAnsi="Times New Roman" w:cs="Times New Roman"/>
          <w:sz w:val="28"/>
          <w:lang w:eastAsia="ru-RU"/>
        </w:rPr>
        <w:t>. на 92,5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от плана и на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11 830,1 тыс. рублей или на 83,4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ниже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 06 «Охрана окру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жающей среды», исполнены на 76,4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в сумме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53,2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на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434,4 тыс. рублей ниже факта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07 «Образование» в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их удельный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вес  в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общих расходах районного бюджета составил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69,1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 в сумме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355 976,5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.,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и их исполнение   составило 98,1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плана. По сравнению с предыдущим периодом, данный вид расходов увеличился на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1 990,9 тыс. рублей или на 0,6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«Социальная политика» исполнены в сумме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17 744,9 тыс. руб. или на 69,9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плана. Их удельный вес в об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щем объёме расходов составил 3,5%. По сравнению с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расходы уменьшены на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673,1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ей или на 3,6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 «Физическая кул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ьтура и спорт» исполнены на 99,9% и составили 10 692,5 тыс. руб., что на 1,2% или на 130,8 тыс. рублей выше уровня 2019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Исполнение расходов по ведомственной структуре в разрезе распорядителей и получателей средств районного бюджета составило: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администрации Пог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арского района в сумме 124 878,3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., исполн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ение бюджетных назначений – 89,3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Погарскому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районному С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овету народных депутатов 1 658,2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., исполнение бюджетных назнач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ений - 99,7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управлению образования администрации Погарского района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356 984,7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., исполне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ние бюджетных назначений -  97,7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комитету управления муниципальным имуществом админис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трации Погарского района 2 918,0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., исполнение бю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джетных назначений – 97,7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финансовому управлению админист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рации Погарского района 27 616,4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исполн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ение бюджетных назначений – 99,0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- по Контрольно-счетной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>палате Погарского района 1 289,9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., исполнение бюджетных назначений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– 95,7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Решением районного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06.12.2019 года №6-41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«О бюджете муниципального образования «Погарский район»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годов», бюджет был утверждён бездефицитным. Профицит исполнения бюджета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 </w:t>
      </w:r>
      <w:r w:rsidR="00910B86">
        <w:rPr>
          <w:rFonts w:ascii="Times New Roman" w:eastAsia="Times New Roman" w:hAnsi="Times New Roman" w:cs="Times New Roman"/>
          <w:sz w:val="28"/>
          <w:lang w:eastAsia="ru-RU"/>
        </w:rPr>
        <w:t xml:space="preserve">       15 586,6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тыс.рублей</w:t>
      </w:r>
      <w:proofErr w:type="spellEnd"/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123AE" w:rsidRPr="007454DE" w:rsidRDefault="003123A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B631AC" w:rsidRDefault="00B631AC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Предложения:</w:t>
      </w:r>
    </w:p>
    <w:p w:rsidR="003123AE" w:rsidRDefault="003123A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Администрации Погарского района:</w:t>
      </w:r>
    </w:p>
    <w:p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бюджета;</w:t>
      </w:r>
    </w:p>
    <w:p w:rsidR="007454DE" w:rsidRPr="007454DE" w:rsidRDefault="007454DE" w:rsidP="003123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провести инвентаризацию муниципального имущества, земельных участков, выявление невостребованных участков, неиспользуемого имущества с </w:t>
      </w:r>
      <w:r w:rsidR="003123AE">
        <w:rPr>
          <w:rFonts w:ascii="Times New Roman" w:eastAsia="Times New Roman" w:hAnsi="Times New Roman" w:cs="Times New Roman"/>
          <w:sz w:val="28"/>
          <w:lang w:eastAsia="ru-RU"/>
        </w:rPr>
        <w:t>целью их дальнейшей реализации.</w:t>
      </w:r>
    </w:p>
    <w:p w:rsidR="003123AE" w:rsidRDefault="003123A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23AE" w:rsidRDefault="003123A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23AE" w:rsidRDefault="003123A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Главным распорядителям средств районного бюджета: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 формирование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 №191 н</w:t>
      </w:r>
      <w:r w:rsidR="004258B2">
        <w:rPr>
          <w:rFonts w:ascii="Times New Roman" w:eastAsia="Times New Roman" w:hAnsi="Times New Roman" w:cs="Times New Roman"/>
          <w:sz w:val="28"/>
          <w:lang w:eastAsia="ru-RU"/>
        </w:rPr>
        <w:t xml:space="preserve"> 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утверждённой приказом Минфина России от 25.03.2011 </w:t>
      </w:r>
      <w:r w:rsidR="003123AE">
        <w:rPr>
          <w:rFonts w:ascii="Times New Roman" w:eastAsia="Times New Roman" w:hAnsi="Times New Roman" w:cs="Times New Roman"/>
          <w:sz w:val="28"/>
          <w:lang w:eastAsia="ru-RU"/>
        </w:rPr>
        <w:t>№33 н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B631AC" w:rsidRDefault="004258B2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 принять меры к погашению дебиторской и кредиторской задолженностей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обратить внимание на необходимость обеспечения соизмеримости показателей, характеризующих эффективность использования средств в рамках целевых программ объёмами финансирования, поставленным целям и задачам, и выполняемым мероприятиям;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-   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 субъекта бюджетной деятельности, анализировать причины отклонений фактических показателей от плановых.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23A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bookmarkStart w:id="0" w:name="_GoBack"/>
      <w:bookmarkEnd w:id="0"/>
    </w:p>
    <w:p w:rsidR="003123AE" w:rsidRDefault="003123A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3123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Рассмотрев отчёт об исполнении районного бюджета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Контрольно-счётная палата предлагает районному Совету народных депутатов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Погарского района рассмотреть проект решения об исполнении районного бюджета 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Председатель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Контрольно-счётной палаты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            О.А. Ахременко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454DE" w:rsidRPr="007454DE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 заключением ознакомлены: 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Глава администрации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                 С.И. Цыганок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Заместитель главы администрации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начальник Финансового управления</w:t>
      </w:r>
    </w:p>
    <w:p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Погарского района                                                 Р.Н. </w:t>
      </w:r>
      <w:proofErr w:type="spellStart"/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Печенко</w:t>
      </w:r>
      <w:proofErr w:type="spellEnd"/>
    </w:p>
    <w:p w:rsidR="00054852" w:rsidRDefault="00054852"/>
    <w:sectPr w:rsidR="00054852" w:rsidSect="007454DE">
      <w:headerReference w:type="default" r:id="rId2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78" w:rsidRDefault="00D22078">
      <w:pPr>
        <w:spacing w:after="0" w:line="240" w:lineRule="auto"/>
      </w:pPr>
      <w:r>
        <w:separator/>
      </w:r>
    </w:p>
  </w:endnote>
  <w:endnote w:type="continuationSeparator" w:id="0">
    <w:p w:rsidR="00D22078" w:rsidRDefault="00D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78" w:rsidRDefault="00D22078">
      <w:pPr>
        <w:spacing w:after="0" w:line="240" w:lineRule="auto"/>
      </w:pPr>
      <w:r>
        <w:separator/>
      </w:r>
    </w:p>
  </w:footnote>
  <w:footnote w:type="continuationSeparator" w:id="0">
    <w:p w:rsidR="00D22078" w:rsidRDefault="00D2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604622"/>
      <w:docPartObj>
        <w:docPartGallery w:val="Page Numbers (Top of Page)"/>
        <w:docPartUnique/>
      </w:docPartObj>
    </w:sdtPr>
    <w:sdtContent>
      <w:p w:rsidR="00F30E81" w:rsidRDefault="00F30E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AE">
          <w:rPr>
            <w:noProof/>
          </w:rPr>
          <w:t>33</w:t>
        </w:r>
        <w:r>
          <w:fldChar w:fldCharType="end"/>
        </w:r>
      </w:p>
    </w:sdtContent>
  </w:sdt>
  <w:p w:rsidR="00F30E81" w:rsidRDefault="00F30E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7E94"/>
    <w:multiLevelType w:val="multilevel"/>
    <w:tmpl w:val="90A21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6262DD"/>
    <w:multiLevelType w:val="multilevel"/>
    <w:tmpl w:val="22A2E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B7"/>
    <w:rsid w:val="00022CAE"/>
    <w:rsid w:val="00025BF2"/>
    <w:rsid w:val="000504A2"/>
    <w:rsid w:val="00054852"/>
    <w:rsid w:val="00055045"/>
    <w:rsid w:val="00055D34"/>
    <w:rsid w:val="00083972"/>
    <w:rsid w:val="00085646"/>
    <w:rsid w:val="00090650"/>
    <w:rsid w:val="000A7FDE"/>
    <w:rsid w:val="000B7C46"/>
    <w:rsid w:val="00135B3B"/>
    <w:rsid w:val="00144AA4"/>
    <w:rsid w:val="001536AA"/>
    <w:rsid w:val="00164AF8"/>
    <w:rsid w:val="001656BD"/>
    <w:rsid w:val="00166ABC"/>
    <w:rsid w:val="00170C9F"/>
    <w:rsid w:val="00171229"/>
    <w:rsid w:val="00175F9F"/>
    <w:rsid w:val="00190B21"/>
    <w:rsid w:val="00197203"/>
    <w:rsid w:val="001A2CEC"/>
    <w:rsid w:val="001A31BE"/>
    <w:rsid w:val="001E0D0E"/>
    <w:rsid w:val="001E20A5"/>
    <w:rsid w:val="0024185C"/>
    <w:rsid w:val="00263DEC"/>
    <w:rsid w:val="00271F38"/>
    <w:rsid w:val="0029013E"/>
    <w:rsid w:val="00292E2C"/>
    <w:rsid w:val="002A0692"/>
    <w:rsid w:val="002A1C86"/>
    <w:rsid w:val="002A5647"/>
    <w:rsid w:val="002C31FE"/>
    <w:rsid w:val="002E468A"/>
    <w:rsid w:val="002F063D"/>
    <w:rsid w:val="00305984"/>
    <w:rsid w:val="003123AE"/>
    <w:rsid w:val="00327D42"/>
    <w:rsid w:val="003544D9"/>
    <w:rsid w:val="003706D5"/>
    <w:rsid w:val="00373A16"/>
    <w:rsid w:val="00381CDF"/>
    <w:rsid w:val="00390CE5"/>
    <w:rsid w:val="0039213E"/>
    <w:rsid w:val="003A52BD"/>
    <w:rsid w:val="003C7F2A"/>
    <w:rsid w:val="003D1FB8"/>
    <w:rsid w:val="003D316F"/>
    <w:rsid w:val="004023F7"/>
    <w:rsid w:val="00403D11"/>
    <w:rsid w:val="00406D83"/>
    <w:rsid w:val="0041387A"/>
    <w:rsid w:val="004258B2"/>
    <w:rsid w:val="004401BB"/>
    <w:rsid w:val="00441464"/>
    <w:rsid w:val="00474D82"/>
    <w:rsid w:val="00476072"/>
    <w:rsid w:val="00494BFB"/>
    <w:rsid w:val="004A126C"/>
    <w:rsid w:val="0050145D"/>
    <w:rsid w:val="00507CD4"/>
    <w:rsid w:val="0053401B"/>
    <w:rsid w:val="00541807"/>
    <w:rsid w:val="00542DFF"/>
    <w:rsid w:val="00573B82"/>
    <w:rsid w:val="005949B4"/>
    <w:rsid w:val="005A2AA4"/>
    <w:rsid w:val="005A37CA"/>
    <w:rsid w:val="005A41FF"/>
    <w:rsid w:val="005A7EC6"/>
    <w:rsid w:val="005B3D91"/>
    <w:rsid w:val="005B4C02"/>
    <w:rsid w:val="005B68AD"/>
    <w:rsid w:val="005C7001"/>
    <w:rsid w:val="005D01BE"/>
    <w:rsid w:val="005D2849"/>
    <w:rsid w:val="005D6E6A"/>
    <w:rsid w:val="005F28C4"/>
    <w:rsid w:val="00602976"/>
    <w:rsid w:val="006145C8"/>
    <w:rsid w:val="00641C63"/>
    <w:rsid w:val="006545A2"/>
    <w:rsid w:val="00660F49"/>
    <w:rsid w:val="00666D23"/>
    <w:rsid w:val="00687A03"/>
    <w:rsid w:val="006917FB"/>
    <w:rsid w:val="006B1ECD"/>
    <w:rsid w:val="006C46DA"/>
    <w:rsid w:val="006C4A10"/>
    <w:rsid w:val="006F1AC1"/>
    <w:rsid w:val="00705218"/>
    <w:rsid w:val="00743E84"/>
    <w:rsid w:val="007454DE"/>
    <w:rsid w:val="00746705"/>
    <w:rsid w:val="0075204E"/>
    <w:rsid w:val="007550A7"/>
    <w:rsid w:val="007775A6"/>
    <w:rsid w:val="00787500"/>
    <w:rsid w:val="007A536B"/>
    <w:rsid w:val="007A54CD"/>
    <w:rsid w:val="007B031F"/>
    <w:rsid w:val="007C32F6"/>
    <w:rsid w:val="007C578D"/>
    <w:rsid w:val="007C78D8"/>
    <w:rsid w:val="007D5609"/>
    <w:rsid w:val="007E5CA8"/>
    <w:rsid w:val="00801860"/>
    <w:rsid w:val="00815284"/>
    <w:rsid w:val="00824E0C"/>
    <w:rsid w:val="00830EED"/>
    <w:rsid w:val="00834076"/>
    <w:rsid w:val="00855C1D"/>
    <w:rsid w:val="00856B4B"/>
    <w:rsid w:val="00874D25"/>
    <w:rsid w:val="0088733B"/>
    <w:rsid w:val="00892EE5"/>
    <w:rsid w:val="008A116C"/>
    <w:rsid w:val="008A34E6"/>
    <w:rsid w:val="008B3195"/>
    <w:rsid w:val="008C01DE"/>
    <w:rsid w:val="008F193A"/>
    <w:rsid w:val="00903CA1"/>
    <w:rsid w:val="00910B86"/>
    <w:rsid w:val="00921B3E"/>
    <w:rsid w:val="00925CCD"/>
    <w:rsid w:val="00934A63"/>
    <w:rsid w:val="009439A5"/>
    <w:rsid w:val="00947FD3"/>
    <w:rsid w:val="009561BF"/>
    <w:rsid w:val="009749C9"/>
    <w:rsid w:val="00977204"/>
    <w:rsid w:val="00984749"/>
    <w:rsid w:val="00994DD0"/>
    <w:rsid w:val="009A0F96"/>
    <w:rsid w:val="009B2576"/>
    <w:rsid w:val="009C0BA2"/>
    <w:rsid w:val="009C77B7"/>
    <w:rsid w:val="009E5D4D"/>
    <w:rsid w:val="009E7BE2"/>
    <w:rsid w:val="009F08B3"/>
    <w:rsid w:val="009F3EC4"/>
    <w:rsid w:val="00A03E7E"/>
    <w:rsid w:val="00A11CBD"/>
    <w:rsid w:val="00A44114"/>
    <w:rsid w:val="00A45926"/>
    <w:rsid w:val="00A50EF9"/>
    <w:rsid w:val="00A52C71"/>
    <w:rsid w:val="00A549EA"/>
    <w:rsid w:val="00A5637B"/>
    <w:rsid w:val="00A643DE"/>
    <w:rsid w:val="00A65C1B"/>
    <w:rsid w:val="00A80732"/>
    <w:rsid w:val="00A84269"/>
    <w:rsid w:val="00A8489A"/>
    <w:rsid w:val="00A8582F"/>
    <w:rsid w:val="00A92092"/>
    <w:rsid w:val="00AA50AC"/>
    <w:rsid w:val="00AA5EB5"/>
    <w:rsid w:val="00AB00C1"/>
    <w:rsid w:val="00AB67BD"/>
    <w:rsid w:val="00AC415F"/>
    <w:rsid w:val="00B04A97"/>
    <w:rsid w:val="00B06FC3"/>
    <w:rsid w:val="00B16409"/>
    <w:rsid w:val="00B56872"/>
    <w:rsid w:val="00B60EA6"/>
    <w:rsid w:val="00B631AC"/>
    <w:rsid w:val="00B6383A"/>
    <w:rsid w:val="00B83BF0"/>
    <w:rsid w:val="00B904DD"/>
    <w:rsid w:val="00BA162C"/>
    <w:rsid w:val="00BA4063"/>
    <w:rsid w:val="00BA4F80"/>
    <w:rsid w:val="00BA7F5F"/>
    <w:rsid w:val="00BC4545"/>
    <w:rsid w:val="00BD7276"/>
    <w:rsid w:val="00C028CA"/>
    <w:rsid w:val="00C13DC9"/>
    <w:rsid w:val="00C41510"/>
    <w:rsid w:val="00C4311A"/>
    <w:rsid w:val="00C45391"/>
    <w:rsid w:val="00C4593E"/>
    <w:rsid w:val="00C550B1"/>
    <w:rsid w:val="00C77370"/>
    <w:rsid w:val="00C90394"/>
    <w:rsid w:val="00C93CD1"/>
    <w:rsid w:val="00CA7621"/>
    <w:rsid w:val="00CA77B8"/>
    <w:rsid w:val="00CD3020"/>
    <w:rsid w:val="00CE0B6A"/>
    <w:rsid w:val="00CE0DE6"/>
    <w:rsid w:val="00CE4BFE"/>
    <w:rsid w:val="00CF0E3C"/>
    <w:rsid w:val="00CF2B00"/>
    <w:rsid w:val="00CF5E9B"/>
    <w:rsid w:val="00D063D6"/>
    <w:rsid w:val="00D22078"/>
    <w:rsid w:val="00D22C20"/>
    <w:rsid w:val="00D37800"/>
    <w:rsid w:val="00D52332"/>
    <w:rsid w:val="00D54947"/>
    <w:rsid w:val="00D63B2B"/>
    <w:rsid w:val="00D823D4"/>
    <w:rsid w:val="00D91578"/>
    <w:rsid w:val="00DB085A"/>
    <w:rsid w:val="00DB430C"/>
    <w:rsid w:val="00DD04DA"/>
    <w:rsid w:val="00DD3862"/>
    <w:rsid w:val="00DE21A8"/>
    <w:rsid w:val="00DF4CE8"/>
    <w:rsid w:val="00DF5839"/>
    <w:rsid w:val="00E03930"/>
    <w:rsid w:val="00E10182"/>
    <w:rsid w:val="00E1087F"/>
    <w:rsid w:val="00E16D88"/>
    <w:rsid w:val="00E24E45"/>
    <w:rsid w:val="00E36B96"/>
    <w:rsid w:val="00E42C0C"/>
    <w:rsid w:val="00E47D33"/>
    <w:rsid w:val="00E552AD"/>
    <w:rsid w:val="00E674B4"/>
    <w:rsid w:val="00E7015C"/>
    <w:rsid w:val="00E71EAD"/>
    <w:rsid w:val="00E84FEC"/>
    <w:rsid w:val="00EC57E4"/>
    <w:rsid w:val="00ED287B"/>
    <w:rsid w:val="00ED61A5"/>
    <w:rsid w:val="00EE2BF4"/>
    <w:rsid w:val="00EE4759"/>
    <w:rsid w:val="00EE7DCB"/>
    <w:rsid w:val="00EF5968"/>
    <w:rsid w:val="00F03021"/>
    <w:rsid w:val="00F06413"/>
    <w:rsid w:val="00F16DB9"/>
    <w:rsid w:val="00F2187D"/>
    <w:rsid w:val="00F241CF"/>
    <w:rsid w:val="00F262A2"/>
    <w:rsid w:val="00F30E81"/>
    <w:rsid w:val="00F32933"/>
    <w:rsid w:val="00F47C1B"/>
    <w:rsid w:val="00F51766"/>
    <w:rsid w:val="00F6605F"/>
    <w:rsid w:val="00F74CB3"/>
    <w:rsid w:val="00F8234F"/>
    <w:rsid w:val="00F95851"/>
    <w:rsid w:val="00FA1555"/>
    <w:rsid w:val="00FA6397"/>
    <w:rsid w:val="00FB5C6A"/>
    <w:rsid w:val="00FC4476"/>
    <w:rsid w:val="00FD26A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2A65"/>
  <w15:chartTrackingRefBased/>
  <w15:docId w15:val="{6E934F22-9A9B-46BB-8BAD-4ED4465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header"/>
    <w:basedOn w:val="a"/>
    <w:link w:val="a4"/>
    <w:uiPriority w:val="99"/>
    <w:unhideWhenUsed/>
    <w:rsid w:val="007454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54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54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54D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4D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454D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54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4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128136.6</c:v>
                </c:pt>
                <c:pt idx="1">
                  <c:v>133153.9</c:v>
                </c:pt>
                <c:pt idx="2">
                  <c:v>135320.70000000001</c:v>
                </c:pt>
                <c:pt idx="3">
                  <c:v>151529.29999999999</c:v>
                </c:pt>
                <c:pt idx="4">
                  <c:v>169041.3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77-4679-877D-40E877DF8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32256"/>
        <c:axId val="78317440"/>
        <c:axId val="0"/>
      </c:bar3DChart>
      <c:catAx>
        <c:axId val="7803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17440"/>
        <c:crosses val="autoZero"/>
        <c:auto val="1"/>
        <c:lblAlgn val="ctr"/>
        <c:lblOffset val="100"/>
        <c:noMultiLvlLbl val="0"/>
      </c:catAx>
      <c:valAx>
        <c:axId val="783174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032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1765.3</c:v>
                </c:pt>
                <c:pt idx="1">
                  <c:v>1337</c:v>
                </c:pt>
                <c:pt idx="2">
                  <c:v>1259</c:v>
                </c:pt>
                <c:pt idx="3">
                  <c:v>1777.1</c:v>
                </c:pt>
                <c:pt idx="4" formatCode="General">
                  <c:v>1475</c:v>
                </c:pt>
                <c:pt idx="5">
                  <c:v>1181.0999999999999</c:v>
                </c:pt>
                <c:pt idx="6" formatCode="General">
                  <c:v>844.6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6-4C62-9617-A13B39298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85152"/>
        <c:axId val="78386688"/>
        <c:axId val="0"/>
      </c:bar3DChart>
      <c:catAx>
        <c:axId val="7838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86688"/>
        <c:crosses val="autoZero"/>
        <c:auto val="1"/>
        <c:lblAlgn val="ctr"/>
        <c:lblOffset val="100"/>
        <c:noMultiLvlLbl val="0"/>
      </c:catAx>
      <c:valAx>
        <c:axId val="783866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385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30071.1</c:v>
                </c:pt>
                <c:pt idx="1">
                  <c:v>31784.9</c:v>
                </c:pt>
                <c:pt idx="2">
                  <c:v>32863.4</c:v>
                </c:pt>
                <c:pt idx="3">
                  <c:v>33388.199999999997</c:v>
                </c:pt>
                <c:pt idx="4">
                  <c:v>35219.1</c:v>
                </c:pt>
                <c:pt idx="5">
                  <c:v>41001.599999999999</c:v>
                </c:pt>
                <c:pt idx="6">
                  <c:v>46789.4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12-4AF9-AB3A-3FADF093E4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B512-4AF9-AB3A-3FADF093E4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B512-4AF9-AB3A-3FADF093E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404608"/>
        <c:axId val="78406400"/>
        <c:axId val="0"/>
      </c:bar3DChart>
      <c:catAx>
        <c:axId val="7840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06400"/>
        <c:crosses val="autoZero"/>
        <c:auto val="1"/>
        <c:lblAlgn val="ctr"/>
        <c:lblOffset val="100"/>
        <c:noMultiLvlLbl val="0"/>
      </c:catAx>
      <c:valAx>
        <c:axId val="784064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404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312019.5</c:v>
                </c:pt>
                <c:pt idx="1">
                  <c:v>306708.5</c:v>
                </c:pt>
                <c:pt idx="2">
                  <c:v>314232.09999999998</c:v>
                </c:pt>
                <c:pt idx="3">
                  <c:v>301119.09999999998</c:v>
                </c:pt>
                <c:pt idx="4">
                  <c:v>322374.8</c:v>
                </c:pt>
                <c:pt idx="5">
                  <c:v>353985.6</c:v>
                </c:pt>
                <c:pt idx="6">
                  <c:v>355976.5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A-43C2-8447-695C1C50B7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2DDA-43C2-8447-695C1C50B7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2DDA-43C2-8447-695C1C50B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49184"/>
        <c:axId val="78016512"/>
        <c:axId val="0"/>
      </c:bar3DChart>
      <c:catAx>
        <c:axId val="779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016512"/>
        <c:crosses val="autoZero"/>
        <c:auto val="1"/>
        <c:lblAlgn val="ctr"/>
        <c:lblOffset val="100"/>
        <c:noMultiLvlLbl val="0"/>
      </c:catAx>
      <c:valAx>
        <c:axId val="780165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7949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49841624070182"/>
          <c:y val="7.1837720382008224E-2"/>
          <c:w val="0.84745723439062448"/>
          <c:h val="0.681416456718387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гогд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94265</c:v>
                </c:pt>
                <c:pt idx="1">
                  <c:v>110410.5</c:v>
                </c:pt>
                <c:pt idx="2">
                  <c:v>122107.1</c:v>
                </c:pt>
                <c:pt idx="3">
                  <c:v>128365</c:v>
                </c:pt>
                <c:pt idx="4">
                  <c:v>128050.1</c:v>
                </c:pt>
                <c:pt idx="5">
                  <c:v>144498.4</c:v>
                </c:pt>
                <c:pt idx="6">
                  <c:v>160830.5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E8-42EC-9B42-C21B0EA864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гогд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5982</c:v>
                </c:pt>
                <c:pt idx="1">
                  <c:v>6143.9</c:v>
                </c:pt>
                <c:pt idx="2">
                  <c:v>6029.5</c:v>
                </c:pt>
                <c:pt idx="3">
                  <c:v>4788.8999999999996</c:v>
                </c:pt>
                <c:pt idx="4">
                  <c:v>7270.6</c:v>
                </c:pt>
                <c:pt idx="5">
                  <c:v>7030.9</c:v>
                </c:pt>
                <c:pt idx="6">
                  <c:v>8210.7999999999993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E8-42EC-9B42-C21B0EA864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999616"/>
        <c:axId val="90034176"/>
        <c:axId val="0"/>
      </c:bar3DChart>
      <c:catAx>
        <c:axId val="8999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034176"/>
        <c:crosses val="autoZero"/>
        <c:auto val="1"/>
        <c:lblAlgn val="ctr"/>
        <c:lblOffset val="100"/>
        <c:noMultiLvlLbl val="0"/>
      </c:catAx>
      <c:valAx>
        <c:axId val="900341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9999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82571</c:v>
                </c:pt>
                <c:pt idx="1">
                  <c:v>89425.1</c:v>
                </c:pt>
                <c:pt idx="2">
                  <c:v>94703.5</c:v>
                </c:pt>
                <c:pt idx="3">
                  <c:v>103185.3</c:v>
                </c:pt>
                <c:pt idx="4">
                  <c:v>102578.5</c:v>
                </c:pt>
                <c:pt idx="5">
                  <c:v>117063.6</c:v>
                </c:pt>
                <c:pt idx="6">
                  <c:v>135245.5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B2-4DA5-B779-0ACF58013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8240"/>
        <c:axId val="100620928"/>
        <c:axId val="0"/>
      </c:bar3DChart>
      <c:catAx>
        <c:axId val="1006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620928"/>
        <c:crosses val="autoZero"/>
        <c:auto val="1"/>
        <c:lblAlgn val="ctr"/>
        <c:lblOffset val="100"/>
        <c:noMultiLvlLbl val="0"/>
      </c:catAx>
      <c:valAx>
        <c:axId val="100620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0618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62870607100187"/>
          <c:y val="5.3830398472918158E-2"/>
          <c:w val="0.87243027569645859"/>
          <c:h val="0.74128904795991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10697.8</c:v>
                </c:pt>
                <c:pt idx="1">
                  <c:v>10947.1</c:v>
                </c:pt>
                <c:pt idx="2">
                  <c:v>11441.5</c:v>
                </c:pt>
                <c:pt idx="3">
                  <c:v>11179.4</c:v>
                </c:pt>
                <c:pt idx="4">
                  <c:v>9949.7999999999993</c:v>
                </c:pt>
                <c:pt idx="5">
                  <c:v>9300.2999999999993</c:v>
                </c:pt>
                <c:pt idx="6">
                  <c:v>7135.5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8-4954-95E5-4B3490E4D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24576"/>
        <c:axId val="147252352"/>
        <c:axId val="0"/>
      </c:bar3DChart>
      <c:catAx>
        <c:axId val="13402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252352"/>
        <c:crosses val="autoZero"/>
        <c:auto val="1"/>
        <c:lblAlgn val="ctr"/>
        <c:lblOffset val="100"/>
        <c:noMultiLvlLbl val="0"/>
      </c:catAx>
      <c:valAx>
        <c:axId val="1472523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4024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31234302193014E-2"/>
          <c:y val="0.11730112376729608"/>
          <c:w val="0.89868483847205605"/>
          <c:h val="0.55544010396758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Единый сельхозналог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69.2</c:v>
                </c:pt>
                <c:pt idx="1">
                  <c:v>207.3</c:v>
                </c:pt>
                <c:pt idx="2">
                  <c:v>707.3</c:v>
                </c:pt>
                <c:pt idx="3">
                  <c:v>955.5</c:v>
                </c:pt>
                <c:pt idx="4">
                  <c:v>781.1</c:v>
                </c:pt>
                <c:pt idx="5" formatCode="#,##0.00">
                  <c:v>2027.9</c:v>
                </c:pt>
                <c:pt idx="6" formatCode="#,##0.00">
                  <c:v>3276.6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9-413E-9606-C443BDC7E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77792"/>
        <c:axId val="149409792"/>
        <c:axId val="0"/>
      </c:bar3DChart>
      <c:catAx>
        <c:axId val="14777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409792"/>
        <c:crosses val="autoZero"/>
        <c:auto val="1"/>
        <c:lblAlgn val="ctr"/>
        <c:lblOffset val="100"/>
        <c:noMultiLvlLbl val="0"/>
      </c:catAx>
      <c:valAx>
        <c:axId val="1494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7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815.3</c:v>
                </c:pt>
                <c:pt idx="1">
                  <c:v>852.4</c:v>
                </c:pt>
                <c:pt idx="2" formatCode="#,##0.00">
                  <c:v>1411.1</c:v>
                </c:pt>
                <c:pt idx="3" formatCode="#,##0.00">
                  <c:v>1507.6</c:v>
                </c:pt>
                <c:pt idx="4" formatCode="#,##0.00">
                  <c:v>1675.9</c:v>
                </c:pt>
                <c:pt idx="5" formatCode="#,##0.00">
                  <c:v>1956.7</c:v>
                </c:pt>
                <c:pt idx="6">
                  <c:v>1953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1D-4A31-88DE-29A3767D9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70912"/>
        <c:axId val="78072448"/>
        <c:axId val="0"/>
      </c:bar3DChart>
      <c:catAx>
        <c:axId val="7807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072448"/>
        <c:crosses val="autoZero"/>
        <c:auto val="1"/>
        <c:lblAlgn val="ctr"/>
        <c:lblOffset val="100"/>
        <c:noMultiLvlLbl val="0"/>
      </c:catAx>
      <c:valAx>
        <c:axId val="7807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70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2179.5</c:v>
                </c:pt>
                <c:pt idx="1">
                  <c:v>2964.6</c:v>
                </c:pt>
                <c:pt idx="2">
                  <c:v>2055.5</c:v>
                </c:pt>
                <c:pt idx="3">
                  <c:v>1280.8</c:v>
                </c:pt>
                <c:pt idx="4">
                  <c:v>3457.9</c:v>
                </c:pt>
                <c:pt idx="5">
                  <c:v>3349.2</c:v>
                </c:pt>
                <c:pt idx="6">
                  <c:v>4836.5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8-40FA-9E88-71381C9CDD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95328"/>
        <c:axId val="78205312"/>
        <c:axId val="0"/>
      </c:bar3DChart>
      <c:catAx>
        <c:axId val="7819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05312"/>
        <c:crosses val="autoZero"/>
        <c:auto val="1"/>
        <c:lblAlgn val="ctr"/>
        <c:lblOffset val="100"/>
        <c:noMultiLvlLbl val="0"/>
      </c:catAx>
      <c:valAx>
        <c:axId val="782053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195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695.3</c:v>
                </c:pt>
                <c:pt idx="1">
                  <c:v>704.3</c:v>
                </c:pt>
                <c:pt idx="2">
                  <c:v>660.2</c:v>
                </c:pt>
                <c:pt idx="3">
                  <c:v>563.6</c:v>
                </c:pt>
                <c:pt idx="4">
                  <c:v>598</c:v>
                </c:pt>
                <c:pt idx="5">
                  <c:v>525.79999999999995</c:v>
                </c:pt>
                <c:pt idx="6">
                  <c:v>556.20000000000005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B-4EBF-B1A2-A9C144557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25792"/>
        <c:axId val="78227328"/>
        <c:axId val="0"/>
      </c:bar3DChart>
      <c:catAx>
        <c:axId val="7822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27328"/>
        <c:crosses val="autoZero"/>
        <c:auto val="1"/>
        <c:lblAlgn val="ctr"/>
        <c:lblOffset val="100"/>
        <c:noMultiLvlLbl val="0"/>
      </c:catAx>
      <c:valAx>
        <c:axId val="7822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25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 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828.9</c:v>
                </c:pt>
                <c:pt idx="1">
                  <c:v>637.1</c:v>
                </c:pt>
                <c:pt idx="2">
                  <c:v>774.9</c:v>
                </c:pt>
                <c:pt idx="3">
                  <c:v>417.6</c:v>
                </c:pt>
                <c:pt idx="4">
                  <c:v>406.9</c:v>
                </c:pt>
                <c:pt idx="5">
                  <c:v>223.6</c:v>
                </c:pt>
                <c:pt idx="6">
                  <c:v>164.3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F-4DD1-A786-055BF3028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48192"/>
        <c:axId val="78258176"/>
        <c:axId val="0"/>
      </c:bar3DChart>
      <c:catAx>
        <c:axId val="7824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58176"/>
        <c:crosses val="autoZero"/>
        <c:auto val="1"/>
        <c:lblAlgn val="ctr"/>
        <c:lblOffset val="100"/>
        <c:noMultiLvlLbl val="0"/>
      </c:catAx>
      <c:valAx>
        <c:axId val="782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48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414B-EF75-4AB1-97F9-E918543E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34</Pages>
  <Words>8626</Words>
  <Characters>49173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405</cp:revision>
  <cp:lastPrinted>2021-04-23T11:37:00Z</cp:lastPrinted>
  <dcterms:created xsi:type="dcterms:W3CDTF">2021-03-22T08:40:00Z</dcterms:created>
  <dcterms:modified xsi:type="dcterms:W3CDTF">2021-04-23T13:14:00Z</dcterms:modified>
</cp:coreProperties>
</file>