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47" w:rsidRDefault="00195C94">
      <w:pPr>
        <w:pStyle w:val="1"/>
        <w:shd w:val="clear" w:color="auto" w:fill="auto"/>
        <w:spacing w:line="240" w:lineRule="auto"/>
        <w:jc w:val="center"/>
      </w:pPr>
      <w:r>
        <w:rPr>
          <w:smallCaps/>
          <w:sz w:val="34"/>
          <w:szCs w:val="34"/>
        </w:rPr>
        <w:t>российская федерация</w:t>
      </w:r>
      <w:r>
        <w:rPr>
          <w:smallCaps/>
          <w:sz w:val="34"/>
          <w:szCs w:val="34"/>
        </w:rPr>
        <w:br/>
      </w:r>
      <w:r>
        <w:t>АДМИНИСТРАЦИЯ ПОГАРСКОГО РАЙОНА</w:t>
      </w:r>
      <w:r>
        <w:br/>
        <w:t>БРЯНСКОЙ ОБЛАСТИ</w:t>
      </w:r>
    </w:p>
    <w:p w:rsidR="00334B47" w:rsidRDefault="00195C94">
      <w:pPr>
        <w:pStyle w:val="1"/>
        <w:shd w:val="clear" w:color="auto" w:fill="auto"/>
        <w:jc w:val="center"/>
      </w:pPr>
      <w:r>
        <w:t>ПОСТАНОВЛЕНИЕ</w:t>
      </w:r>
    </w:p>
    <w:p w:rsidR="00334B47" w:rsidRDefault="00195C94">
      <w:pPr>
        <w:pStyle w:val="1"/>
        <w:shd w:val="clear" w:color="auto" w:fill="auto"/>
        <w:spacing w:after="0"/>
      </w:pPr>
      <w:r>
        <w:t>от.202</w:t>
      </w:r>
      <w:r w:rsidR="00836D4C">
        <w:t>1 г. №</w:t>
      </w:r>
    </w:p>
    <w:p w:rsidR="00334B47" w:rsidRDefault="00195C94">
      <w:pPr>
        <w:pStyle w:val="1"/>
        <w:shd w:val="clear" w:color="auto" w:fill="auto"/>
        <w:spacing w:after="0"/>
      </w:pPr>
      <w:r>
        <w:t>пгт Погар</w:t>
      </w:r>
    </w:p>
    <w:p w:rsidR="00BC7034" w:rsidRDefault="00BC7034" w:rsidP="00BC7034">
      <w:pPr>
        <w:pStyle w:val="1"/>
        <w:shd w:val="clear" w:color="auto" w:fill="auto"/>
        <w:spacing w:line="240" w:lineRule="auto"/>
        <w:contextualSpacing/>
      </w:pPr>
    </w:p>
    <w:p w:rsidR="00836D4C" w:rsidRPr="00BF777D" w:rsidRDefault="00836D4C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F77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утверждении Программы</w:t>
      </w:r>
    </w:p>
    <w:p w:rsidR="00836D4C" w:rsidRPr="00BF777D" w:rsidRDefault="00836D4C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F77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профилактики рисков причинения</w:t>
      </w:r>
    </w:p>
    <w:p w:rsidR="00836D4C" w:rsidRPr="00BF777D" w:rsidRDefault="00836D4C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F77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вреда (ущерба) охраняемым законом</w:t>
      </w:r>
    </w:p>
    <w:p w:rsidR="00351902" w:rsidRPr="00BF777D" w:rsidRDefault="00836D4C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F77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ценностям </w:t>
      </w:r>
      <w:r w:rsidR="00351902" w:rsidRPr="00BF77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 </w:t>
      </w:r>
      <w:proofErr w:type="gramStart"/>
      <w:r w:rsidR="00351902" w:rsidRPr="00BF77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муниципальному</w:t>
      </w:r>
      <w:proofErr w:type="gramEnd"/>
      <w:r w:rsidR="00351902" w:rsidRPr="00BF77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536D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жилищному</w:t>
      </w:r>
    </w:p>
    <w:p w:rsidR="00530C51" w:rsidRDefault="00351902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F77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контролю на территории</w:t>
      </w:r>
      <w:r w:rsidR="00530C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530C51" w:rsidRPr="00530C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Погарского </w:t>
      </w:r>
      <w:proofErr w:type="gramStart"/>
      <w:r w:rsidR="00530C51" w:rsidRPr="00530C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городского</w:t>
      </w:r>
      <w:proofErr w:type="gramEnd"/>
      <w:r w:rsidR="00530C51" w:rsidRPr="00530C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351902" w:rsidRDefault="00530C51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 w:rsidRPr="00530C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поселения</w:t>
      </w:r>
      <w:r w:rsidR="00351902" w:rsidRPr="00BF77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Погарского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351902" w:rsidRPr="00BF77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района на 2022 год</w:t>
      </w:r>
      <w:r w:rsidR="00836D4C" w:rsidRPr="00BF777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br/>
      </w:r>
      <w:r w:rsidR="00836D4C" w:rsidRPr="00836D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    </w:t>
      </w:r>
    </w:p>
    <w:p w:rsidR="00836D4C" w:rsidRDefault="00836D4C" w:rsidP="00351902">
      <w:pPr>
        <w:keepNext/>
        <w:widowControl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В соответствии со ст. 44 Федеральн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ого закона от 31 июля 2020 №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248-ФЗ "О государственном контроле (надзоре) и муниципальном контроле в Российской Федерации", Постановлением Правит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ельства РФ от 25 июня 2021 №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"</w:t>
      </w:r>
    </w:p>
    <w:p w:rsidR="00836D4C" w:rsidRDefault="00836D4C" w:rsidP="00836D4C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ПОСТАНОВЛЯЮ:</w:t>
      </w:r>
    </w:p>
    <w:p w:rsidR="00836D4C" w:rsidRPr="00836D4C" w:rsidRDefault="00836D4C" w:rsidP="00836D4C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1. Утвердить </w:t>
      </w:r>
      <w:r w:rsid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рограмму профилактики рисков причинения вреда (ущерба) охраняемым законом ценностям </w:t>
      </w:r>
      <w:r w:rsid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по муниципальному </w:t>
      </w:r>
      <w:r w:rsidR="00536D3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жилищному </w:t>
      </w:r>
      <w:r w:rsid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контролю 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Погарског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о района </w:t>
      </w:r>
      <w:r w:rsidR="00351902" w:rsidRP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на 2022 год 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согласно приложению.</w:t>
      </w:r>
    </w:p>
    <w:p w:rsidR="00836D4C" w:rsidRDefault="00836D4C" w:rsidP="00836D4C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2. Настоящее постановление </w:t>
      </w:r>
      <w:r w:rsidR="00351902" w:rsidRP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разместить на официальном сайте администрации Погарского района в сети Интернет.</w:t>
      </w:r>
    </w:p>
    <w:p w:rsidR="00836D4C" w:rsidRPr="00836D4C" w:rsidRDefault="00836D4C" w:rsidP="00836D4C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3. </w:t>
      </w:r>
      <w:proofErr w:type="gramStart"/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Контроль за</w:t>
      </w:r>
      <w:proofErr w:type="gramEnd"/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первого 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заместителя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главы 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Погарского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района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Астапковича С.П.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</w:t>
      </w:r>
    </w:p>
    <w:p w:rsidR="00836D4C" w:rsidRP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Глава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администрации</w:t>
      </w:r>
    </w:p>
    <w:p w:rsidR="00836D4C" w:rsidRP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Погарского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района                              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     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                                       С.И. Цыганок</w:t>
      </w:r>
    </w:p>
    <w:p w:rsidR="00836D4C" w:rsidRP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lastRenderedPageBreak/>
        <w:t>Исп. Т.М. Прокопцова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Согласовано: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первый заместитель главы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администрации Погарского района</w:t>
      </w:r>
    </w:p>
    <w:p w:rsid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С.П. Астапкович</w:t>
      </w:r>
    </w:p>
    <w:p w:rsidR="003F4D64" w:rsidRDefault="003F4D64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управляющий делами</w:t>
      </w:r>
    </w:p>
    <w:p w:rsidR="003F4D64" w:rsidRDefault="003F4D64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в администрации Погарского района</w:t>
      </w:r>
    </w:p>
    <w:p w:rsidR="003F4D64" w:rsidRPr="00836D4C" w:rsidRDefault="00351902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А.Л. Жадкевич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начальник отдела правовой,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кадровой и мобилизационной работы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 xml:space="preserve">О.И. Соболь </w:t>
      </w:r>
    </w:p>
    <w:p w:rsidR="00836D4C" w:rsidRPr="00836D4C" w:rsidRDefault="00836D4C" w:rsidP="00836D4C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lastRenderedPageBreak/>
        <w:t>Приложение</w:t>
      </w:r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 xml:space="preserve">к постановлению </w:t>
      </w: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администрации </w:t>
      </w:r>
      <w:r w:rsidRPr="00376389">
        <w:rPr>
          <w:rFonts w:ascii="Times New Roman" w:eastAsia="Times New Roman" w:hAnsi="Times New Roman" w:cs="Times New Roman"/>
          <w:color w:val="auto"/>
          <w:spacing w:val="2"/>
          <w:lang w:bidi="ar-SA"/>
        </w:rPr>
        <w:t>Погарского</w:t>
      </w:r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района</w:t>
      </w:r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</w:r>
      <w:proofErr w:type="gramStart"/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t>от</w:t>
      </w:r>
      <w:proofErr w:type="gramEnd"/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</w:t>
      </w: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Программа</w:t>
      </w:r>
    </w:p>
    <w:p w:rsidR="00836D4C" w:rsidRDefault="00836D4C" w:rsidP="00836D4C">
      <w:pPr>
        <w:widowControl/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профилактики рисков причинения вреда (ущерба) </w:t>
      </w:r>
    </w:p>
    <w:p w:rsidR="00836D4C" w:rsidRDefault="00836D4C" w:rsidP="00351902">
      <w:pPr>
        <w:widowControl/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охраняемым законом ценностям </w:t>
      </w:r>
      <w:r w:rsidR="00351902" w:rsidRP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по муниципальному </w:t>
      </w:r>
      <w:r w:rsidR="00536D3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жилищному</w:t>
      </w:r>
      <w:r w:rsidR="00351902" w:rsidRP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контролю на территории</w:t>
      </w:r>
      <w:r w:rsidR="00530C5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</w:t>
      </w:r>
      <w:r w:rsidR="00530C51" w:rsidRPr="00530C5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Погарского городского поселения</w:t>
      </w:r>
      <w:r w:rsidR="00351902" w:rsidRP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Погарского района на 2022 год</w:t>
      </w:r>
    </w:p>
    <w:p w:rsidR="00351902" w:rsidRDefault="00351902" w:rsidP="00351902">
      <w:pPr>
        <w:widowControl/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351902" w:rsidRPr="00530C51" w:rsidRDefault="00351902" w:rsidP="00351902">
      <w:pPr>
        <w:suppressAutoHyphens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30C51">
        <w:rPr>
          <w:rFonts w:ascii="Times New Roman" w:eastAsia="Times New Roman" w:hAnsi="Times New Roman" w:cs="Times New Roman"/>
          <w:sz w:val="26"/>
          <w:szCs w:val="26"/>
          <w:lang w:bidi="ar-SA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51902" w:rsidRPr="00351902" w:rsidRDefault="00351902" w:rsidP="00351902">
      <w:pPr>
        <w:suppressAutoHyphens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901A82" w:rsidRDefault="00901A82" w:rsidP="00412C46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Муниципальный жилищный контроль на территории </w:t>
      </w:r>
      <w:r w:rsidR="00530C51" w:rsidRPr="00530C5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Погарского городского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Погарского района  осуществляется администрацией</w:t>
      </w:r>
      <w:r w:rsidR="00351902"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>Погарского района</w:t>
      </w:r>
      <w:r w:rsidR="00351902"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(далее – </w:t>
      </w:r>
      <w:r w:rsid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администрация</w:t>
      </w:r>
      <w:r w:rsidR="00351902"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901A82" w:rsidRPr="00901A82" w:rsidRDefault="0035190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901A82"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901A82" w:rsidRPr="00901A82" w:rsidRDefault="00901A8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901A82" w:rsidRPr="00901A82" w:rsidRDefault="00901A8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2) требований к формированию фондов капитального ремонта;</w:t>
      </w:r>
    </w:p>
    <w:p w:rsidR="00901A82" w:rsidRPr="00901A82" w:rsidRDefault="00901A8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01A82" w:rsidRPr="00901A82" w:rsidRDefault="00901A8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01A82" w:rsidRPr="00901A82" w:rsidRDefault="00901A8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01A82" w:rsidRPr="00901A82" w:rsidRDefault="00901A8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01A82" w:rsidRPr="00901A82" w:rsidRDefault="00901A8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в </w:t>
      </w: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многоквартирных домах и жилых домов;</w:t>
      </w:r>
    </w:p>
    <w:p w:rsidR="00901A82" w:rsidRPr="00901A82" w:rsidRDefault="00901A8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01A82" w:rsidRPr="00901A82" w:rsidRDefault="00901A8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9) требований к порядку размещения </w:t>
      </w:r>
      <w:proofErr w:type="spellStart"/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ресурсоснабжающими</w:t>
      </w:r>
      <w:proofErr w:type="spellEnd"/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901A82" w:rsidRPr="00901A82" w:rsidRDefault="00901A8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10) требований к обеспечению доступности для инвалидов помещений в многоквартирных домах;</w:t>
      </w:r>
    </w:p>
    <w:p w:rsidR="00412C46" w:rsidRDefault="00901A8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11) требований к предоставлению жилых помещений в наемных домах социального использования.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Объектами муниципального жилищного контроля являются: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деятельность;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412C46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Подконтрольные субъекты: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жилищному контролю: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- Жилищный кодекс Российской Федерации;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- Постановление Государственного комитета Российской Федерации по строительству и жилищно-коммунал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ьному комплексу от 27.09.2003 №</w:t>
      </w: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170 «Об утверждении Правил и норм технической эксплуатации жилищного фонда»;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Постановление П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равительства РФ от 06.05.2011 №</w:t>
      </w: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354 «О предоставлении коммунальных услуг собственникам и пользователям помещений в многоквартирных до</w:t>
      </w:r>
      <w:bookmarkStart w:id="0" w:name="_GoBack"/>
      <w:bookmarkEnd w:id="0"/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- Постановление Прав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ительства РФ от 21.01.2006 №</w:t>
      </w: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25 «Об утверждении Правил пользования жилыми помещениями»;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- Постановление П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равительства РФ от 13.08.2006 №</w:t>
      </w: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</w:t>
      </w: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обеспечения надлежащего содержания общего имущества в многоквартирном доме»);</w:t>
      </w:r>
    </w:p>
    <w:p w:rsid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Постановление П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равительства РФ от 15.05.2013 №</w:t>
      </w: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C92136" w:rsidRPr="00C92136" w:rsidRDefault="00C92136" w:rsidP="00C9213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Погарского района</w:t>
      </w: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проверок соблюдения действующего законодательства Российской Федерации в указанной сфере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 2021 году не проводилось.</w:t>
      </w:r>
    </w:p>
    <w:p w:rsidR="00C92136" w:rsidRPr="00C92136" w:rsidRDefault="00C92136" w:rsidP="00C9213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 w:rsidR="00C92136" w:rsidRPr="00C92136" w:rsidRDefault="00C92136" w:rsidP="00C9213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>1)</w:t>
      </w: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 xml:space="preserve">размещение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администрации</w:t>
      </w: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 сети «Интернет» 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C92136" w:rsidRDefault="00C92136" w:rsidP="00C9213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>2)</w:t>
      </w: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ответов на письменные обращения.</w:t>
      </w:r>
    </w:p>
    <w:p w:rsidR="00C92136" w:rsidRPr="00C92136" w:rsidRDefault="00C92136" w:rsidP="00C9213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C92136" w:rsidRPr="00C92136" w:rsidRDefault="00C92136" w:rsidP="00C9213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C92136" w:rsidRPr="00C92136" w:rsidRDefault="00C92136" w:rsidP="00C9213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>в следствие</w:t>
      </w:r>
      <w:proofErr w:type="gramEnd"/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92136" w:rsidRPr="00C92136" w:rsidRDefault="00C92136" w:rsidP="00C9213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412C46" w:rsidRPr="00351902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51902" w:rsidRPr="00351902" w:rsidRDefault="00351902" w:rsidP="00351902">
      <w:pPr>
        <w:suppressAutoHyphens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Раздел II. Цели и задачи </w:t>
      </w:r>
      <w:proofErr w:type="gramStart"/>
      <w:r w:rsidRPr="00351902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реализации </w:t>
      </w:r>
      <w:r w:rsidR="00412C46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П</w:t>
      </w:r>
      <w:r w:rsidRPr="00351902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рограммы профилактики рисков причинения вреда</w:t>
      </w:r>
      <w:proofErr w:type="gramEnd"/>
    </w:p>
    <w:p w:rsidR="00351902" w:rsidRPr="00351902" w:rsidRDefault="00351902" w:rsidP="00351902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C92136" w:rsidRPr="00C92136" w:rsidRDefault="00C92136" w:rsidP="00C9213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9213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Целями Программы являются:</w:t>
      </w:r>
    </w:p>
    <w:p w:rsidR="00C92136" w:rsidRPr="00C92136" w:rsidRDefault="00C92136" w:rsidP="00C92136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9213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92136" w:rsidRPr="00C92136" w:rsidRDefault="00C92136" w:rsidP="00C92136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9213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2) предупреждение </w:t>
      </w:r>
      <w:proofErr w:type="gramStart"/>
      <w:r w:rsidRPr="00C9213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нарушений</w:t>
      </w:r>
      <w:proofErr w:type="gramEnd"/>
      <w:r w:rsidRPr="00C9213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92136" w:rsidRPr="00C92136" w:rsidRDefault="00C92136" w:rsidP="00C92136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9213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lastRenderedPageBreak/>
        <w:t>3) снижение размера ущерба, причиняемого охраняемым законом ценностям.</w:t>
      </w:r>
    </w:p>
    <w:p w:rsidR="00C92136" w:rsidRPr="00C92136" w:rsidRDefault="00C92136" w:rsidP="00C92136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9213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Задачами Программы являются:</w:t>
      </w:r>
    </w:p>
    <w:p w:rsidR="00C92136" w:rsidRPr="00C92136" w:rsidRDefault="00C92136" w:rsidP="00C92136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9213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1) укрепление системы профилактики нарушений обязательных требований;</w:t>
      </w:r>
    </w:p>
    <w:p w:rsidR="00C92136" w:rsidRPr="00C92136" w:rsidRDefault="00C92136" w:rsidP="00C92136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9213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92136" w:rsidRPr="00C92136" w:rsidRDefault="00C92136" w:rsidP="00C92136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9213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3) снижение административной нагрузки на контролируемых лиц</w:t>
      </w:r>
    </w:p>
    <w:p w:rsidR="00C92136" w:rsidRPr="00C92136" w:rsidRDefault="00C92136" w:rsidP="00C92136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9213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534DE8" w:rsidRPr="00351902" w:rsidRDefault="00534DE8" w:rsidP="00C92136">
      <w:pPr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351902" w:rsidRPr="00351902" w:rsidRDefault="00351902" w:rsidP="00C9213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Раздел III. Перечень профилактических мероприятий, сроки (периодичность) их проведения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51902" w:rsidRPr="00351902" w:rsidTr="00076EB4">
        <w:tc>
          <w:tcPr>
            <w:tcW w:w="72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  <w:proofErr w:type="gramStart"/>
            <w:r w:rsidRPr="00351902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proofErr w:type="gramEnd"/>
            <w:r w:rsidRPr="00351902">
              <w:rPr>
                <w:rFonts w:ascii="Times New Roman" w:eastAsia="Times New Roman" w:hAnsi="Times New Roman" w:cs="Times New Roman"/>
                <w:lang w:bidi="ar-SA"/>
              </w:rPr>
              <w:t>/п</w:t>
            </w:r>
          </w:p>
        </w:tc>
        <w:tc>
          <w:tcPr>
            <w:tcW w:w="432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Профилактические мероприятия</w:t>
            </w:r>
          </w:p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9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Адресат мероприятия</w:t>
            </w:r>
          </w:p>
        </w:tc>
      </w:tr>
    </w:tbl>
    <w:p w:rsidR="00351902" w:rsidRPr="00351902" w:rsidRDefault="00351902" w:rsidP="00351902">
      <w:pPr>
        <w:widowControl/>
        <w:suppressAutoHyphens/>
        <w:rPr>
          <w:rFonts w:ascii="Times New Roman" w:eastAsia="Times New Roman" w:hAnsi="Times New Roman" w:cs="Times New Roman"/>
          <w:sz w:val="2"/>
          <w:szCs w:val="2"/>
          <w:lang w:eastAsia="ar-SA" w:bidi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51902" w:rsidRPr="00351902" w:rsidTr="00076EB4">
        <w:trPr>
          <w:trHeight w:val="28"/>
          <w:tblHeader/>
        </w:trPr>
        <w:tc>
          <w:tcPr>
            <w:tcW w:w="72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432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9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409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351902" w:rsidRPr="00351902" w:rsidTr="00076EB4">
        <w:tc>
          <w:tcPr>
            <w:tcW w:w="72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4320" w:type="dxa"/>
          </w:tcPr>
          <w:p w:rsidR="0047068D" w:rsidRPr="0047068D" w:rsidRDefault="0047068D" w:rsidP="0047068D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Администрация </w:t>
            </w:r>
            <w:r w:rsidRPr="0047068D">
              <w:rPr>
                <w:rFonts w:ascii="Times New Roman" w:eastAsia="Times New Roman" w:hAnsi="Times New Roman" w:cs="Times New Roman"/>
                <w:lang w:bidi="ar-SA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7068D" w:rsidRPr="0047068D" w:rsidRDefault="0047068D" w:rsidP="0047068D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7068D">
              <w:rPr>
                <w:rFonts w:ascii="Times New Roman" w:eastAsia="Times New Roman" w:hAnsi="Times New Roman" w:cs="Times New Roman"/>
                <w:lang w:bidi="ar-SA"/>
              </w:rPr>
              <w:t>Информирование осуществляется посредством размещения соответствующих сведений на официальном сайте администрации Погарского района и в иных формах.</w:t>
            </w:r>
          </w:p>
          <w:p w:rsidR="0047068D" w:rsidRPr="0047068D" w:rsidRDefault="0047068D" w:rsidP="0047068D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Администрация</w:t>
            </w:r>
            <w:r w:rsidRPr="0047068D">
              <w:rPr>
                <w:rFonts w:ascii="Times New Roman" w:eastAsia="Times New Roman" w:hAnsi="Times New Roman" w:cs="Times New Roman"/>
                <w:lang w:bidi="ar-SA"/>
              </w:rPr>
              <w:t xml:space="preserve"> размещает и поддерживает в актуальном состоянии на своем официальном сайте:</w:t>
            </w:r>
          </w:p>
          <w:p w:rsidR="0047068D" w:rsidRPr="0047068D" w:rsidRDefault="0047068D" w:rsidP="0047068D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7068D">
              <w:rPr>
                <w:rFonts w:ascii="Times New Roman" w:eastAsia="Times New Roman" w:hAnsi="Times New Roman" w:cs="Times New Roman"/>
                <w:lang w:bidi="ar-SA"/>
              </w:rPr>
              <w:t>1) тексты нормативных правовых актов, регулирующих осуществление муниципально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го жилищного контроля</w:t>
            </w:r>
            <w:r w:rsidRPr="0047068D">
              <w:rPr>
                <w:rFonts w:ascii="Times New Roman" w:eastAsia="Times New Roman" w:hAnsi="Times New Roman" w:cs="Times New Roman"/>
                <w:lang w:bidi="ar-SA"/>
              </w:rPr>
              <w:t>;</w:t>
            </w:r>
          </w:p>
          <w:p w:rsidR="0047068D" w:rsidRPr="0047068D" w:rsidRDefault="0047068D" w:rsidP="0047068D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  <w:r w:rsidRPr="0047068D">
              <w:rPr>
                <w:rFonts w:ascii="Times New Roman" w:eastAsia="Times New Roman" w:hAnsi="Times New Roman" w:cs="Times New Roman"/>
                <w:lang w:bidi="ar-SA"/>
              </w:rPr>
              <w:t>) программу профилактики рисков причинения вреда и план проведения плановых контрольных мероприятий;</w:t>
            </w:r>
          </w:p>
          <w:p w:rsidR="0047068D" w:rsidRPr="0047068D" w:rsidRDefault="0047068D" w:rsidP="0047068D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  <w:r w:rsidRPr="0047068D">
              <w:rPr>
                <w:rFonts w:ascii="Times New Roman" w:eastAsia="Times New Roman" w:hAnsi="Times New Roman" w:cs="Times New Roman"/>
                <w:lang w:bidi="ar-SA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351902" w:rsidRPr="00351902" w:rsidRDefault="0047068D" w:rsidP="0047068D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 w:rsidRPr="0047068D">
              <w:rPr>
                <w:rFonts w:ascii="Times New Roman" w:eastAsia="Times New Roman" w:hAnsi="Times New Roman" w:cs="Times New Roman"/>
                <w:lang w:bidi="ar-SA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Брянской области</w:t>
            </w:r>
            <w:r w:rsidRPr="0047068D">
              <w:rPr>
                <w:rFonts w:ascii="Times New Roman" w:eastAsia="Times New Roman" w:hAnsi="Times New Roman" w:cs="Times New Roman"/>
                <w:lang w:bidi="ar-SA"/>
              </w:rPr>
              <w:t>, муниципальными правовыми актами.</w:t>
            </w:r>
          </w:p>
        </w:tc>
        <w:tc>
          <w:tcPr>
            <w:tcW w:w="2190" w:type="dxa"/>
          </w:tcPr>
          <w:p w:rsidR="00351902" w:rsidRPr="00351902" w:rsidRDefault="0047068D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068D">
              <w:rPr>
                <w:rFonts w:ascii="Times New Roman" w:eastAsia="Times New Roman" w:hAnsi="Times New Roman" w:cs="Times New Roman"/>
                <w:lang w:bidi="ar-SA"/>
              </w:rPr>
              <w:t>в течение 2022 г.</w:t>
            </w:r>
          </w:p>
        </w:tc>
        <w:tc>
          <w:tcPr>
            <w:tcW w:w="2409" w:type="dxa"/>
          </w:tcPr>
          <w:p w:rsidR="00351902" w:rsidRPr="00351902" w:rsidRDefault="00351902" w:rsidP="009342FC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351902" w:rsidRPr="00351902" w:rsidTr="00366F2A">
        <w:trPr>
          <w:trHeight w:val="3075"/>
        </w:trPr>
        <w:tc>
          <w:tcPr>
            <w:tcW w:w="720" w:type="dxa"/>
          </w:tcPr>
          <w:p w:rsidR="00351902" w:rsidRPr="00351902" w:rsidRDefault="0047068D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2</w:t>
            </w:r>
            <w:r w:rsidR="00351902" w:rsidRPr="00351902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432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Консультирование должностным лицом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351902" w:rsidRPr="00351902" w:rsidRDefault="00351902" w:rsidP="0047068D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 xml:space="preserve">по вопросам, связанным с организацией и осуществлением муниципального </w:t>
            </w:r>
            <w:r w:rsidR="0047068D">
              <w:rPr>
                <w:rFonts w:ascii="Times New Roman" w:eastAsia="Times New Roman" w:hAnsi="Times New Roman" w:cs="Times New Roman"/>
                <w:lang w:bidi="ar-SA"/>
              </w:rPr>
              <w:t>жилищного</w:t>
            </w:r>
            <w:r w:rsidRPr="00351902">
              <w:rPr>
                <w:rFonts w:ascii="Times New Roman" w:eastAsia="Times New Roman" w:hAnsi="Times New Roman" w:cs="Times New Roman"/>
                <w:lang w:bidi="ar-SA"/>
              </w:rPr>
              <w:t xml:space="preserve"> контроля в отношении контролируемых лиц</w:t>
            </w:r>
          </w:p>
        </w:tc>
        <w:tc>
          <w:tcPr>
            <w:tcW w:w="2190" w:type="dxa"/>
          </w:tcPr>
          <w:p w:rsidR="00351902" w:rsidRPr="00351902" w:rsidRDefault="00366F2A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r w:rsidR="00351902" w:rsidRPr="00351902">
              <w:rPr>
                <w:rFonts w:ascii="Times New Roman" w:eastAsia="Times New Roman" w:hAnsi="Times New Roman" w:cs="Times New Roman"/>
                <w:lang w:bidi="ar-SA"/>
              </w:rPr>
              <w:t>о обращениям контролируемых лиц и их представителей, поступившим в течени</w:t>
            </w:r>
            <w:proofErr w:type="gramStart"/>
            <w:r w:rsidR="00351902" w:rsidRPr="00351902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proofErr w:type="gramEnd"/>
            <w:r w:rsidR="00351902" w:rsidRPr="00351902">
              <w:rPr>
                <w:rFonts w:ascii="Times New Roman" w:eastAsia="Times New Roman" w:hAnsi="Times New Roman" w:cs="Times New Roman"/>
                <w:lang w:bidi="ar-SA"/>
              </w:rPr>
              <w:t xml:space="preserve"> 2022 года</w:t>
            </w:r>
          </w:p>
        </w:tc>
        <w:tc>
          <w:tcPr>
            <w:tcW w:w="2409" w:type="dxa"/>
          </w:tcPr>
          <w:p w:rsidR="00351902" w:rsidRPr="00351902" w:rsidRDefault="00351902" w:rsidP="00534DE8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</w:tbl>
    <w:p w:rsidR="00351902" w:rsidRPr="00351902" w:rsidRDefault="00351902" w:rsidP="00351902">
      <w:pPr>
        <w:suppressAutoHyphens/>
        <w:autoSpaceDE w:val="0"/>
        <w:autoSpaceDN w:val="0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9A22A5" w:rsidRPr="009A22A5" w:rsidRDefault="009A22A5" w:rsidP="009A22A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693B" w:rsidRPr="008F693B" w:rsidRDefault="00C56ED5" w:rsidP="008F693B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I</w:t>
      </w:r>
      <w:r w:rsidR="008F693B" w:rsidRPr="008F69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V.</w:t>
      </w:r>
      <w:r w:rsidR="008F69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8F693B" w:rsidRPr="008F69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Показатели результативности и эффективности </w:t>
      </w:r>
      <w:r w:rsidR="00534DE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8F693B" w:rsidRPr="008F69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рограммы</w:t>
      </w:r>
    </w:p>
    <w:p w:rsidR="008F693B" w:rsidRPr="008F693B" w:rsidRDefault="008F693B" w:rsidP="008F693B">
      <w:pPr>
        <w:widowControl/>
        <w:rPr>
          <w:rFonts w:ascii="Times New Roman" w:eastAsia="Times New Roman" w:hAnsi="Times New Roman" w:cs="Times New Roman"/>
          <w:color w:val="00B0F0"/>
          <w:highlight w:val="yellow"/>
          <w:lang w:bidi="ar-SA"/>
        </w:rPr>
      </w:pPr>
    </w:p>
    <w:p w:rsidR="008F693B" w:rsidRPr="008F693B" w:rsidRDefault="008F693B" w:rsidP="00C56ED5">
      <w:pPr>
        <w:widowControl/>
        <w:ind w:right="141"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Показателями  результативности и эффективности </w:t>
      </w:r>
      <w:r w:rsidR="00534D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рограммы являются</w:t>
      </w:r>
      <w:r w:rsidRPr="008F69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8F693B" w:rsidRPr="008F693B" w:rsidRDefault="008F693B" w:rsidP="00C56ED5">
      <w:pPr>
        <w:widowControl/>
        <w:tabs>
          <w:tab w:val="left" w:pos="1134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полнота информации, размещенная на </w:t>
      </w:r>
      <w:r w:rsidR="00C56ED5" w:rsidRPr="00C56E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официальном сайте администрации Погарского района в сети Интернет</w:t>
      </w:r>
      <w:r w:rsidRPr="008F69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8F693B" w:rsidRPr="008F693B" w:rsidRDefault="008F693B" w:rsidP="00C56ED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8F693B" w:rsidRPr="008F693B" w:rsidRDefault="008F693B" w:rsidP="00C56ED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8F693B" w:rsidRPr="008F693B" w:rsidRDefault="008F693B" w:rsidP="00C56ED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8F69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снижение количества однотипных и повторяющихся нарушений одним и тем же подконтрольным субъектом.</w:t>
      </w:r>
    </w:p>
    <w:sectPr w:rsidR="008F693B" w:rsidRPr="008F693B" w:rsidSect="00534DE8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A4" w:rsidRDefault="007329A4">
      <w:r>
        <w:separator/>
      </w:r>
    </w:p>
  </w:endnote>
  <w:endnote w:type="continuationSeparator" w:id="0">
    <w:p w:rsidR="007329A4" w:rsidRDefault="0073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A4" w:rsidRDefault="007329A4"/>
  </w:footnote>
  <w:footnote w:type="continuationSeparator" w:id="0">
    <w:p w:rsidR="007329A4" w:rsidRDefault="007329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34B47"/>
    <w:rsid w:val="0004574B"/>
    <w:rsid w:val="000D2A73"/>
    <w:rsid w:val="00195C94"/>
    <w:rsid w:val="001C3540"/>
    <w:rsid w:val="00247DC0"/>
    <w:rsid w:val="00265437"/>
    <w:rsid w:val="00334B47"/>
    <w:rsid w:val="00351902"/>
    <w:rsid w:val="00366F2A"/>
    <w:rsid w:val="00376389"/>
    <w:rsid w:val="003F4D64"/>
    <w:rsid w:val="00412C46"/>
    <w:rsid w:val="0047068D"/>
    <w:rsid w:val="004D6B2A"/>
    <w:rsid w:val="00530C51"/>
    <w:rsid w:val="00534DE8"/>
    <w:rsid w:val="00536D3D"/>
    <w:rsid w:val="00542030"/>
    <w:rsid w:val="00565F49"/>
    <w:rsid w:val="007329A4"/>
    <w:rsid w:val="007777E7"/>
    <w:rsid w:val="00836D4C"/>
    <w:rsid w:val="008916FC"/>
    <w:rsid w:val="008F557E"/>
    <w:rsid w:val="008F693B"/>
    <w:rsid w:val="00901A82"/>
    <w:rsid w:val="00904A15"/>
    <w:rsid w:val="009342FC"/>
    <w:rsid w:val="00945250"/>
    <w:rsid w:val="00974680"/>
    <w:rsid w:val="009A22A5"/>
    <w:rsid w:val="00B44C81"/>
    <w:rsid w:val="00B65DF7"/>
    <w:rsid w:val="00BC7034"/>
    <w:rsid w:val="00BF777D"/>
    <w:rsid w:val="00C56ED5"/>
    <w:rsid w:val="00C92136"/>
    <w:rsid w:val="00E16907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2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156" w:lineRule="auto"/>
      <w:ind w:left="2020"/>
    </w:pPr>
    <w:rPr>
      <w:rFonts w:ascii="Arial" w:eastAsia="Arial" w:hAnsi="Arial" w:cs="Arial"/>
      <w:i/>
      <w:iCs/>
      <w:sz w:val="32"/>
      <w:szCs w:val="32"/>
    </w:rPr>
  </w:style>
  <w:style w:type="table" w:styleId="a6">
    <w:name w:val="Table Grid"/>
    <w:basedOn w:val="a1"/>
    <w:uiPriority w:val="59"/>
    <w:rsid w:val="00836D4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26543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9A22A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2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156" w:lineRule="auto"/>
      <w:ind w:left="2020"/>
    </w:pPr>
    <w:rPr>
      <w:rFonts w:ascii="Arial" w:eastAsia="Arial" w:hAnsi="Arial" w:cs="Arial"/>
      <w:i/>
      <w:iCs/>
      <w:sz w:val="32"/>
      <w:szCs w:val="32"/>
    </w:rPr>
  </w:style>
  <w:style w:type="table" w:styleId="a6">
    <w:name w:val="Table Grid"/>
    <w:basedOn w:val="a1"/>
    <w:uiPriority w:val="59"/>
    <w:rsid w:val="00836D4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26543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9A22A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9D22-AEA8-4BBE-9375-9E9D742E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Чумасов А.И.</cp:lastModifiedBy>
  <cp:revision>2</cp:revision>
  <dcterms:created xsi:type="dcterms:W3CDTF">2021-11-17T09:31:00Z</dcterms:created>
  <dcterms:modified xsi:type="dcterms:W3CDTF">2021-11-17T09:31:00Z</dcterms:modified>
</cp:coreProperties>
</file>