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media/image7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Утверждена постановлением         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администрации Погарского района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от  </w:t>
      </w:r>
      <w:r>
        <w:rPr>
          <w:rFonts w:cs="Times New Roman" w:ascii="Times New Roman" w:hAnsi="Times New Roman"/>
          <w:b/>
          <w:bCs/>
          <w:color w:val="2D3038"/>
          <w:sz w:val="20"/>
          <w:szCs w:val="20"/>
        </w:rPr>
        <w:t xml:space="preserve">27.03.2019 г. № 226 </w:t>
      </w:r>
      <w:r>
        <w:rPr>
          <w:rFonts w:cs="Times New Roman" w:ascii="Times New Roman" w:hAnsi="Times New Roman"/>
          <w:b/>
          <w:bCs/>
          <w:sz w:val="20"/>
          <w:szCs w:val="20"/>
        </w:rPr>
        <w:tab/>
      </w:r>
      <w:r>
        <w:rPr>
          <w:rFonts w:cs="Times New Roman" w:ascii="Times New Roman" w:hAnsi="Times New Roman"/>
          <w:sz w:val="20"/>
          <w:szCs w:val="20"/>
        </w:rPr>
        <w:tab/>
        <w:t xml:space="preserve"> 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40"/>
          <w:szCs w:val="40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на территории МО «Погарское городское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0"/>
          <w:szCs w:val="40"/>
        </w:rPr>
        <w:t>на 2018-2024 г.»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пгт Погар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2019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муниципальной программы «Формирование современной городской среды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на территории МО «</w:t>
      </w:r>
      <w:bookmarkStart w:id="0" w:name="__DdeLink__768_1146834136"/>
      <w:r>
        <w:rPr>
          <w:rFonts w:cs="Times New Roman" w:ascii="Times New Roman" w:hAnsi="Times New Roman"/>
          <w:sz w:val="24"/>
          <w:szCs w:val="24"/>
        </w:rPr>
        <w:t>Погарское городское поселение</w:t>
      </w:r>
      <w:bookmarkEnd w:id="0"/>
      <w:r>
        <w:rPr>
          <w:rFonts w:cs="Times New Roman" w:ascii="Times New Roman" w:hAnsi="Times New Roman"/>
          <w:sz w:val="24"/>
          <w:szCs w:val="24"/>
        </w:rPr>
        <w:t>» на 2018-2024 гг.»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Погарского района Брянской области, управляющая организация, осуществляющие свою деятельность на территории МО «Погарское городское поселение», собственники помещений многоквартирных домов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благоустройства территорий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1.Повышение уровня благоустройства дворовых территорий муниципального образования «Погарское городское поселение».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Повышение уровня вовлеченности заинтересованных граждан, организаций в реавлизацию мероприятий по благоустройству территории муниципального образования «Погарское городское поселение»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тексте программы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2018-2024 год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 16 602 876,72 руб., в том  числе:</w:t>
            </w:r>
          </w:p>
          <w:p>
            <w:pPr>
              <w:pStyle w:val="BodyTextIndent2"/>
              <w:tabs>
                <w:tab w:val="left" w:pos="703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2018 год – 4 733 089,58  рублей, из них:</w:t>
            </w:r>
          </w:p>
          <w:p>
            <w:pPr>
              <w:pStyle w:val="BodyTextIndent2"/>
              <w:tabs>
                <w:tab w:val="left" w:pos="703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за счет средств федерального, областного бюджетов - 4 404 282,0 рублей,</w:t>
            </w:r>
          </w:p>
          <w:p>
            <w:pPr>
              <w:pStyle w:val="BodyTextIndent2"/>
              <w:tabs>
                <w:tab w:val="left" w:pos="703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за счет средств местного бюджета -            231 803,58 рубля,</w:t>
            </w:r>
          </w:p>
          <w:p>
            <w:pPr>
              <w:pStyle w:val="BodyTextIndent2"/>
              <w:tabs>
                <w:tab w:val="left" w:pos="703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за счет средств заинтересованных лиц -      97 004 рублей,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2019 год – 5 869 787,14 рублей, из них: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</w:rPr>
              <w:t>за счет средств федерального, областного бюджетов - 5 811 089,26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рублей,</w:t>
            </w:r>
          </w:p>
          <w:p>
            <w:pPr>
              <w:pStyle w:val="BodyTextIndent2"/>
              <w:tabs>
                <w:tab w:val="left" w:pos="7032" w:leader="none"/>
              </w:tabs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 счет средств местного бюджета -            58 697,88 рубля,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 год – 1 000 000  рублей;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год – 1 000 000 рублей;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 год – 1 000 000 рублей.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 год – 1 000 000 рублей;</w:t>
            </w:r>
          </w:p>
          <w:p>
            <w:pPr>
              <w:pStyle w:val="Normal"/>
              <w:widowControl w:val="false"/>
              <w:tabs>
                <w:tab w:val="left" w:pos="2977" w:leader="none"/>
              </w:tabs>
              <w:spacing w:lineRule="auto" w:line="240" w:before="0" w:after="0"/>
              <w:ind w:hanging="14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 год – 1 000 000 рублей.</w:t>
            </w:r>
          </w:p>
        </w:tc>
      </w:tr>
      <w:tr>
        <w:trPr/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85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Реализация программных мероприятий позволит повысить комфортность проживания  всех категорий граждан         пгт Погар,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      </w:t>
      </w:r>
      <w:r>
        <w:rPr>
          <w:rFonts w:cs="Times New Roman" w:ascii="Times New Roman" w:hAnsi="Times New Roman"/>
          <w:bCs/>
          <w:color w:val="252525"/>
          <w:sz w:val="24"/>
          <w:szCs w:val="24"/>
          <w:shd w:fill="FFFFFF" w:val="clear"/>
        </w:rPr>
        <w:t>Городская среда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как к  городу, в котором он проживает, так и к органам исполнительной власти.</w:t>
      </w:r>
      <w:r>
        <w:rPr>
          <w:rFonts w:cs="Times New Roman" w:ascii="Times New Roman" w:hAnsi="Times New Roman"/>
          <w:b/>
          <w:bCs/>
          <w:color w:val="252525"/>
          <w:sz w:val="24"/>
          <w:szCs w:val="24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52525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  <w:t>1. Характеристика текущего состояния благоустройства  в МО «Погарское городское поселение»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color w:val="252525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252525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 граждан, а так же имеет большое социальное и экономическое значение. Важную роль в благоустройстве населенных пунктов играет и их озеленение. Степень озеленения в городах Брянской области достаточно высокая, сам город Брянск считается одним из самых зеленых городов Центральной России, это относится и к районным центрам области. Степень благоустройства населенных пунктов Брянской области оставляет желать лучшего. Лишь несколько из них можно отнести  к условно благоустроенным.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В пгт Погар в последние годы уделяется внимание благоустройству дворовых территорий и мест общего пользования. Хотя за счет  средств только муниципального образования «Погарское городское поселение» эта работа проводится не так масштабно, как хотелось бы.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Всего многоквартирных домов, расположенных на территории пгт Погар – 290, из них по состоянию на 01.01.2018г.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75 участвуют   в региональной программе капитального ремонта общего имущества многоквартирных домов  на территории Брянской области (остальные дома - дома блокированной застройки). </w:t>
      </w:r>
      <w:r>
        <w:rPr>
          <w:rFonts w:cs="Times New Roman" w:ascii="Times New Roman" w:hAnsi="Times New Roman"/>
          <w:sz w:val="24"/>
          <w:szCs w:val="24"/>
          <w:lang w:val="ru-RU"/>
        </w:rPr>
        <w:t>Общее количество  дворовых территорий в пгт Погар составляет 65 ед. площадью 164 549 кв.м., из них количество относительно благоустроенных дворовых территорий составляет 41 ед. площадью 107 404 кв.м., здесь проживает всего лишь 15 % от общей численности жителей города. На территории Погарского городского поселения на придомовых территориях расположено 32 детские площадки, площадью 3 180 кв.м., 195 клумб и газонов.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На территории  пгт Погар имеется 1 парк, 1 сквер,, 1 пляж, 1 площадь и пешеходная зона центральной улицы поселка городского типа – улицы Октябрьская. </w:t>
      </w:r>
      <w:r>
        <w:rPr>
          <w:rFonts w:cs="Times New Roman" w:ascii="Times New Roman" w:hAnsi="Times New Roman"/>
          <w:sz w:val="24"/>
          <w:szCs w:val="24"/>
          <w:lang w:val="ru-RU"/>
        </w:rPr>
        <w:t>Площадь благоустроенных общественных территорий, приходящихся на 1 жителя Погарского городского поселения составляет менее 20 % от всех общественных территорий.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Погарского района, так и  Брянской  области в целом.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 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помещения в многоквартирном доме. Собственники помещений в многоквартирном доме, зданий, расположенных в границах дворовой территории, подлежащей благоустройству, обеспечивают финансовое участие в реализации мероприятий по благоустройству дворовых территорий в рамках дополнительного перечня видов работ. 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Брянской области, подлежащих направлению на софинансирование мероприятий из дополнительного перечня работ по благоустройству.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контроль за их расходованием, утверждается постановлением администрации Погарского района.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Основные показатели, характеризующие текущее состояние и плановые показатели конечных результатов реализации муниципальной программы «Формирование комфортной городской среды на территории МО «Погарское городское поселение»» на 2018-2024 гг.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747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val="04a0"/>
      </w:tblPr>
      <w:tblGrid>
        <w:gridCol w:w="420"/>
        <w:gridCol w:w="2429"/>
        <w:gridCol w:w="1213"/>
        <w:gridCol w:w="797"/>
        <w:gridCol w:w="808"/>
        <w:gridCol w:w="796"/>
        <w:gridCol w:w="857"/>
        <w:gridCol w:w="847"/>
        <w:gridCol w:w="794"/>
        <w:gridCol w:w="785"/>
      </w:tblGrid>
      <w:tr>
        <w:trPr>
          <w:trHeight w:val="540" w:hRule="atLeast"/>
        </w:trPr>
        <w:tc>
          <w:tcPr>
            <w:tcW w:w="420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9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13" w:type="dxa"/>
            <w:vMerge w:val="restart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84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285" w:hRule="atLeast"/>
        </w:trPr>
        <w:tc>
          <w:tcPr>
            <w:tcW w:w="420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29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3" w:type="dxa"/>
            <w:vMerge w:val="continue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01.01.2018 г.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01.01.2019 г.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01.01.2020 г.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 г.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01.01.2022 г.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01.01.2023 г.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01.01.2024 г.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 дворовыми территориями от общей численности населения муниципального образования)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 заинтересованных лиц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</w:tr>
      <w:tr>
        <w:trPr/>
        <w:tc>
          <w:tcPr>
            <w:tcW w:w="420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213" w:type="dxa"/>
            <w:tcBorders/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97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08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6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7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94" w:type="dxa"/>
            <w:tcBorders>
              <w:left w:val="single" w:sz="4" w:space="0" w:color="00000A"/>
              <w:right w:val="nil"/>
              <w:insideV w:val="nil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5" w:type="dxa"/>
            <w:tcBorders>
              <w:left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*)  значения будут внесены в таблицу после завершения мероприятий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Приоритеты региональной политики в сфере благоустройства, цели и задачи программы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 xml:space="preserve">Приоритетом социально-экономического развития городов Брянской области на ближайшие годы должно стать устойчивое повышение качества жизни жителей области на основе экономического роста, развития социальной и культурной сферы, а также комфортной городской среды.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Целью муниципальной  программы «Формирование современной городской среды на территории МО «Погарское городское поселение» на 2018-2024 гг.» является повышение уровня благоустройства территорий муниципального образования «Погарское городское поселение».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ходе реализации муниципальной  программы «Формирование современной городской среды на территории МО «Погарское городское поселение» на 2018-2024 гг.» будут решаться следующие задачи: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1.повышение уровня благоустройства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повышение уровня благоустройства муниципальных территорий общего пользования;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3.повышение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«Погарское городское поселение».</w:t>
      </w:r>
    </w:p>
    <w:p>
      <w:pPr>
        <w:pStyle w:val="Normal"/>
        <w:widowControl w:val="false"/>
        <w:tabs>
          <w:tab w:val="left" w:pos="2977" w:leader="none"/>
        </w:tabs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2977" w:leader="none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Сроки  реализации муниципальной программы.</w:t>
      </w:r>
    </w:p>
    <w:p>
      <w:pPr>
        <w:pStyle w:val="Normal"/>
        <w:shd w:val="clear" w:color="auto" w:fill="FFFFFF"/>
        <w:spacing w:lineRule="atLeast" w:line="315" w:before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ab/>
        <w:t>Реализация муниципальной программы будет осуществляться в период с 2018 по 2024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2977" w:leader="none"/>
        </w:tabs>
        <w:spacing w:lineRule="auto" w:line="240" w:before="0" w:after="0"/>
        <w:ind w:left="10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Перечень показателей (индикаторов) муниципальной программы.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 связанная с 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города воспринимает всю территорию города,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благоустроенных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жителю города не безразличны вопросы освещения и уборки улиц, обустройства тротуаров и общественных пространств.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Комфортная </w:t>
      </w:r>
      <w:r>
        <w:rPr>
          <w:rStyle w:val="Appleconvertedspace"/>
          <w:rFonts w:cs="Times New Roman" w:ascii="Times New Roman" w:hAnsi="Times New Roman"/>
          <w:bCs/>
          <w:sz w:val="24"/>
          <w:szCs w:val="24"/>
          <w:shd w:fill="FFFFFF" w:val="clear"/>
        </w:rPr>
        <w:t> </w:t>
      </w:r>
      <w:hyperlink r:id="rId2">
        <w:r>
          <w:rPr>
            <w:rStyle w:val="Style13"/>
            <w:rFonts w:cs="Times New Roman" w:ascii="Times New Roman" w:hAnsi="Times New Roman"/>
            <w:bCs/>
            <w:color w:val="00000A"/>
            <w:sz w:val="24"/>
            <w:szCs w:val="24"/>
            <w:highlight w:val="white"/>
            <w:u w:val="none"/>
          </w:rPr>
          <w:t xml:space="preserve">городская среда </w:t>
        </w:r>
      </w:hyperlink>
      <w:r>
        <w:rPr>
          <w:rStyle w:val="Appleconvertedspace"/>
          <w:rFonts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—</w:t>
      </w:r>
      <w:r>
        <w:rPr>
          <w:rFonts w:cs="Times New Roman" w:ascii="Times New Roman" w:hAnsi="Times New Roman"/>
          <w:color w:val="252525"/>
          <w:sz w:val="24"/>
          <w:szCs w:val="24"/>
          <w:shd w:fill="FFFFFF" w:val="clear"/>
        </w:rPr>
        <w:t xml:space="preserve">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 результате реализации мероприятий муниципальной программы будут достигнуты результаты:</w:t>
      </w:r>
    </w:p>
    <w:tbl>
      <w:tblPr>
        <w:tblW w:w="9357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885"/>
        <w:gridCol w:w="570"/>
        <w:gridCol w:w="671"/>
        <w:gridCol w:w="672"/>
        <w:gridCol w:w="725"/>
        <w:gridCol w:w="670"/>
        <w:gridCol w:w="723"/>
        <w:gridCol w:w="722"/>
        <w:gridCol w:w="718"/>
      </w:tblGrid>
      <w:tr>
        <w:trPr/>
        <w:tc>
          <w:tcPr>
            <w:tcW w:w="3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Ед. изм.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2018 г.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2019 г.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2020 г.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2021 г.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2022 г.</w:t>
            </w: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2023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г.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2024 г.</w:t>
            </w:r>
          </w:p>
        </w:tc>
      </w:tr>
      <w:tr>
        <w:trPr/>
        <w:tc>
          <w:tcPr>
            <w:tcW w:w="3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Увеличение доли благоустроенных дворовых территорий МКД по отношению к общему количеству дворовых территорий МКД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>
        <w:trPr/>
        <w:tc>
          <w:tcPr>
            <w:tcW w:w="38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Увеличение доли площади благоустроенных общественных территорий общего пользования 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37</w:t>
            </w:r>
          </w:p>
        </w:tc>
        <w:tc>
          <w:tcPr>
            <w:tcW w:w="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60</w:t>
            </w:r>
          </w:p>
        </w:tc>
        <w:tc>
          <w:tcPr>
            <w:tcW w:w="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70</w:t>
            </w:r>
          </w:p>
        </w:tc>
        <w:tc>
          <w:tcPr>
            <w:tcW w:w="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80</w:t>
            </w:r>
          </w:p>
        </w:tc>
        <w:tc>
          <w:tcPr>
            <w:tcW w:w="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20"/>
              <w:spacing w:before="0" w:after="20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800" w:hanging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5. Объем средств на 2018-2024 гг.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Всего по муниципальной  программе «Формирование современной городской среды на территории МО «Погарское городское поселение» на 2018-2024 гг.» предусмотрено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16 602 876,72 руб., в том 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16 215 371,26 руб. – средства областного бюджета;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387 505,46 руб. – средства бюджета МО «Погарское городское поселение»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>Распределение  объема средств, полученных муниципальным образованием «Погарское городское поселение», на  реализацию мероприятий программы «Формирование современной городской среды на территории МО «Погарское городское поселение»  на 2018-2024 гг.»: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-2/3 объема средств подлежит направлению на софинансирование мероприятий по благоустройству дворовых территорий многоквартирных домов.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- 1/3  объема средств подлежит направлению на софинансирование  иных мероприятий по благоустройству муниципальных территорий общего пользования.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3"/>
        <w:numPr>
          <w:ilvl w:val="0"/>
          <w:numId w:val="0"/>
        </w:numPr>
        <w:shd w:val="clear" w:color="auto" w:fill="FFFFFF"/>
        <w:spacing w:lineRule="auto" w:line="240" w:before="375" w:after="225"/>
        <w:ind w:left="1080" w:hanging="0"/>
        <w:jc w:val="center"/>
        <w:textAlignment w:val="baseline"/>
        <w:rPr>
          <w:rFonts w:ascii="Times New Roman" w:hAnsi="Times New Roman"/>
        </w:rPr>
      </w:pPr>
      <w:r>
        <w:rPr>
          <w:rFonts w:cs="Times New Roman"/>
          <w:b/>
          <w:sz w:val="24"/>
          <w:szCs w:val="24"/>
        </w:rPr>
        <w:t>6. П</w:t>
      </w:r>
      <w:r>
        <w:rPr>
          <w:rFonts w:cs="Times New Roman"/>
          <w:b/>
          <w:spacing w:val="2"/>
          <w:sz w:val="24"/>
          <w:szCs w:val="24"/>
        </w:rPr>
        <w:t>еречень работ по благоустройству дворовых территорий</w:t>
      </w:r>
    </w:p>
    <w:p>
      <w:pPr>
        <w:pStyle w:val="ListParagraph"/>
        <w:spacing w:lineRule="auto" w:line="240" w:before="0" w:after="0"/>
        <w:ind w:left="108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целях реализации Правил предоставления федеральной субсидии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>Минимальный перечень видов работ по благоустройству дворовых территорий многоквартирных домов включает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ремонт дворовых проездов;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обеспечение освещения дворовых территорий;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установку скамеек;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установку урн для мусора;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ремонт (устройство) площадок перед входом в подъезд;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замена бордюрного камня.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 многоквартирных домов  является исчерпывающим и не может быть расширен.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ab/>
        <w:t xml:space="preserve">Нормативная стоимость (единичные расценки) работ по благоустройству, входящих в состав минимального перечня работ: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Показатели усредненной стоимости капитального ремонта по благоустройству дворовых территорий (по видам ремонта на 1 квартал 2018 года)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9740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val="00a0"/>
      </w:tblPr>
      <w:tblGrid>
        <w:gridCol w:w="787"/>
        <w:gridCol w:w="6412"/>
        <w:gridCol w:w="1147"/>
        <w:gridCol w:w="1393"/>
      </w:tblGrid>
      <w:tr>
        <w:trPr>
          <w:trHeight w:val="565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в ценах 1 квартала 2017 года с НДС, руб.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Ремонт дворовых проездов.</w:t>
            </w:r>
          </w:p>
        </w:tc>
      </w:tr>
      <w:tr>
        <w:trPr>
          <w:trHeight w:val="389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Ремонт с выравниванием асфальтом и щебнем (тип 2)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1043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Ремонт с выравниванием асфальтом и щебнем (тип 3)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667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Разборка бортовых камней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350</w:t>
            </w:r>
          </w:p>
        </w:tc>
      </w:tr>
      <w:tr>
        <w:trPr>
          <w:trHeight w:val="377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бортовых камней БР100.30.15.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937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Обеспечение освещения дворовых территорий.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уличного светильника на стене здания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4167</w:t>
            </w:r>
          </w:p>
        </w:tc>
      </w:tr>
      <w:tr>
        <w:trPr>
          <w:trHeight w:val="448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уличного светильника на опоре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11451</w:t>
            </w:r>
          </w:p>
        </w:tc>
      </w:tr>
      <w:tr>
        <w:trPr>
          <w:trHeight w:val="441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Прокладка кабеля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 xml:space="preserve">1 </w:t>
            </w:r>
            <w:r>
              <w:rPr>
                <w:rStyle w:val="7"/>
                <w:b w:val="false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272</w:t>
            </w:r>
          </w:p>
        </w:tc>
      </w:tr>
      <w:tr>
        <w:trPr>
          <w:trHeight w:val="444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Шкаф распределительный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13148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Установка скамеек.</w:t>
            </w:r>
          </w:p>
        </w:tc>
      </w:tr>
      <w:tr>
        <w:trPr>
          <w:trHeight w:val="421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скамеек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6829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Установка урн.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Установка урн для мусора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1769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0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Дополнительный перечень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парковочных карманов (асфальтобетонное покрытие)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1313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Обустройство расширений проезжих частей дворовых территорий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1313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новых пешеходных дорожек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1097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пешеходных дорожек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асфальтового покрытия (тип 6)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737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Ремонт асфальтового покрытия (тип 7)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466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Разборка бортовых камней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350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Установка бортовых камней БР100.20.8.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743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Замена люков и кирпичных горловин колодцев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люк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8901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Озеленение территорий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Посадка деревьев •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5596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Посадка кустарников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1541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Устройство газонов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259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Валка деревьев в городских условиях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957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Валка деревьев с применением автогидроподъемника без корчевки пня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м3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3997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Корчевка пней вручную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пень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1861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Формовочная обрезка деревьев (кронирование)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</w:t>
            </w:r>
            <w:r>
              <w:rPr>
                <w:rStyle w:val="10pt"/>
                <w:sz w:val="24"/>
                <w:szCs w:val="24"/>
                <w:lang w:eastAsia="en-US"/>
              </w:rPr>
              <w:t>дерево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5563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Установка игрового, спортивного оборудования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701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Покрытие Мастерфайбр для детских игровых площадок т. 10 мм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1200</w:t>
            </w:r>
          </w:p>
        </w:tc>
      </w:tr>
      <w:tr>
        <w:trPr>
          <w:trHeight w:val="686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Покрытие 'Мастерфайбр для открытых спортивных площадок т. 10 мм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1250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 xml:space="preserve">Нанесение разметки для игровых видов спорта </w:t>
            </w:r>
            <w:r>
              <w:rPr>
                <w:rStyle w:val="2"/>
                <w:sz w:val="24"/>
                <w:szCs w:val="24"/>
              </w:rPr>
              <w:t>'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150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Асфальтобетонное покрытие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1097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Песчано-гравийное основание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 м2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160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Турник с брусьями «Акробат»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22277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«Жим сидя»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31824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«Гребля»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41159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«Пресс»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21110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«Хипс»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42432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«Скороход»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58344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Спортивный тренажер «Бабочка»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68952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Баскетбольный щит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26520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Ворота футбольные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25460</w:t>
            </w:r>
          </w:p>
        </w:tc>
      </w:tr>
      <w:tr>
        <w:trPr>
          <w:trHeight w:val="414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Качели двухместные (жесткий подвес»)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27475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Качели одноместные (жесткий подвес»)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18246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Качели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32248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Качели «Мечта»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52191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rPr/>
            </w:pPr>
            <w:r>
              <w:rPr>
                <w:rStyle w:val="0pt"/>
                <w:sz w:val="24"/>
                <w:szCs w:val="24"/>
                <w:lang w:eastAsia="en-US"/>
              </w:rPr>
              <w:t>Песочница (</w:t>
            </w:r>
            <w:r>
              <w:rPr>
                <w:rStyle w:val="0pt"/>
                <w:sz w:val="24"/>
                <w:szCs w:val="24"/>
                <w:lang w:val="en-US" w:eastAsia="en-US"/>
              </w:rPr>
              <w:t>L</w:t>
            </w:r>
            <w:r>
              <w:rPr>
                <w:rStyle w:val="0pt"/>
                <w:sz w:val="24"/>
                <w:szCs w:val="24"/>
                <w:lang w:eastAsia="en-US"/>
              </w:rPr>
              <w:t>-2000 мм)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9123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Песочница (2,5х2,5х0.3)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19731</w:t>
            </w:r>
          </w:p>
        </w:tc>
      </w:tr>
      <w:tr>
        <w:trPr>
          <w:trHeight w:val="331" w:hRule="atLeast"/>
        </w:trPr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 xml:space="preserve">Горка детская </w:t>
            </w:r>
            <w:r>
              <w:rPr>
                <w:rStyle w:val="0pt"/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=1,5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62906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 xml:space="preserve">Горка детская </w:t>
            </w:r>
            <w:r>
              <w:rPr>
                <w:rStyle w:val="0pt"/>
                <w:rFonts w:ascii="Times New Roman" w:hAnsi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=1,2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54101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Детский игровой комплекс «Радуга»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31"/>
              <w:shd w:val="clear" w:color="auto" w:fill="auto"/>
              <w:spacing w:lineRule="auto" w:line="240"/>
              <w:jc w:val="center"/>
              <w:rPr/>
            </w:pPr>
            <w:r>
              <w:rPr>
                <w:rStyle w:val="1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210219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Детский игровой комплекс «Пионер»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к-т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3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312724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302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Установка оборудования для хозяйственных площадок:</w:t>
            </w:r>
          </w:p>
          <w:p>
            <w:pPr>
              <w:pStyle w:val="Normal"/>
              <w:spacing w:lineRule="exact" w:line="230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Коврочистка стойка для сушки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Шт</w:t>
            </w:r>
          </w:p>
          <w:p>
            <w:pPr>
              <w:pStyle w:val="Normal"/>
              <w:spacing w:lineRule="exact" w:line="28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К-т (2 шт)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10502</w:t>
            </w:r>
          </w:p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4084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69" w:before="0" w:after="0"/>
              <w:jc w:val="both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Установка ограждений газонов, игровых, спортивных площадок, устройство пандусов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1пм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1394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74" w:before="0" w:after="0"/>
              <w:ind w:left="120" w:hanging="0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 xml:space="preserve">Установка ограждающих устройств: бетонных, металлических столбиков для ограждения парковок, тротуаров, детских игровых площадок: </w:t>
            </w:r>
          </w:p>
          <w:p>
            <w:pPr>
              <w:pStyle w:val="Normal"/>
              <w:spacing w:lineRule="exact" w:line="274" w:before="0" w:after="0"/>
              <w:ind w:left="120" w:hanging="0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бетонные столбики</w:t>
            </w:r>
          </w:p>
          <w:p>
            <w:pPr>
              <w:pStyle w:val="Normal"/>
              <w:spacing w:lineRule="exact" w:line="302" w:before="0" w:after="0"/>
              <w:ind w:left="120" w:hanging="0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 xml:space="preserve">металлические столбики 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 м2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30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5932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1011</w:t>
            </w:r>
          </w:p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1093</w:t>
            </w:r>
          </w:p>
        </w:tc>
      </w:tr>
      <w:tr>
        <w:trPr/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302" w:before="0" w:after="0"/>
              <w:ind w:left="120" w:hanging="0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Установка вазонов, цветочниц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spacing w:lineRule="exact" w:line="298" w:before="0" w:after="0"/>
              <w:jc w:val="center"/>
              <w:rPr/>
            </w:pPr>
            <w:r>
              <w:rPr>
                <w:rStyle w:val="0pt"/>
                <w:rFonts w:ascii="Times New Roman" w:hAnsi="Times New Roman"/>
                <w:sz w:val="24"/>
                <w:szCs w:val="24"/>
                <w:lang w:eastAsia="en-US"/>
              </w:rPr>
              <w:t>4603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Визуализированный 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64" w:type="dxa"/>
        <w:jc w:val="left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59"/>
        <w:gridCol w:w="4005"/>
        <w:gridCol w:w="49"/>
        <w:gridCol w:w="4451"/>
      </w:tblGrid>
      <w:tr>
        <w:trPr>
          <w:trHeight w:val="545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>
        <w:trPr/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>
        <w:trPr>
          <w:trHeight w:val="2542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135505" cy="1558290"/>
                  <wp:effectExtent l="0" t="0" r="0" b="0"/>
                  <wp:docPr id="1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155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- 1,5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7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– 380 мм;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ind w:left="57" w:hanging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- 680 мм.</w:t>
            </w:r>
          </w:p>
        </w:tc>
      </w:tr>
      <w:tr>
        <w:trPr>
          <w:trHeight w:val="2484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339975" cy="1699260"/>
                  <wp:effectExtent l="0" t="0" r="0" b="0"/>
                  <wp:docPr id="2" name="Рисунок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975" cy="169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350" w:hanging="3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без спинки: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350" w:hanging="3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ind w:left="513" w:hanging="513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- 385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- 660  мм.</w:t>
            </w:r>
          </w:p>
        </w:tc>
      </w:tr>
      <w:tr>
        <w:trPr>
          <w:trHeight w:val="2156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2162810" cy="1624330"/>
                  <wp:effectExtent l="0" t="0" r="0" b="0"/>
                  <wp:docPr id="3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1624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длина скамейки - 2,085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- 770 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- 975  мм.</w:t>
            </w:r>
          </w:p>
        </w:tc>
      </w:tr>
      <w:tr>
        <w:trPr>
          <w:trHeight w:val="48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</w:r>
          </w:p>
        </w:tc>
        <w:tc>
          <w:tcPr>
            <w:tcW w:w="85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08" w:hanging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 xml:space="preserve">Урна </w:t>
            </w:r>
          </w:p>
        </w:tc>
      </w:tr>
      <w:tr>
        <w:trPr>
          <w:trHeight w:val="2139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276" w:hanging="709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299210" cy="1299210"/>
                  <wp:effectExtent l="0" t="0" r="0" b="0"/>
                  <wp:docPr id="4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Урна металлическая «Деревянный декор»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- 665мм;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- 420 мм;</w:t>
            </w:r>
          </w:p>
          <w:p>
            <w:pPr>
              <w:pStyle w:val="Normal"/>
              <w:widowControl w:val="false"/>
              <w:tabs>
                <w:tab w:val="left" w:pos="720" w:leader="none"/>
              </w:tabs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объем: 10 л</w:t>
            </w:r>
          </w:p>
        </w:tc>
      </w:tr>
      <w:tr>
        <w:trPr>
          <w:trHeight w:val="1997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26" w:firstLine="141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326515" cy="1326515"/>
                  <wp:effectExtent l="0" t="0" r="0" b="0"/>
                  <wp:docPr id="5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15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для мусора: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- 540 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– 400 мм;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Autospacing="1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объем: 20 л.</w:t>
            </w:r>
          </w:p>
        </w:tc>
      </w:tr>
      <w:tr>
        <w:trPr>
          <w:trHeight w:val="194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567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1557655" cy="1569720"/>
                  <wp:effectExtent l="0" t="0" r="0" b="0"/>
                  <wp:docPr id="6" name="Рисунок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- 600мм;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- 330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объем: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24л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Autospacing="1" w:after="75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43" w:hRule="atLeast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567"/>
              <w:rPr>
                <w:rFonts w:ascii="Times New Roman" w:hAnsi="Times New Roman"/>
              </w:rPr>
            </w:pPr>
            <w:r>
              <w:rPr/>
              <w:drawing>
                <wp:inline distT="0" distB="0" distL="0" distR="0">
                  <wp:extent cx="993140" cy="1384300"/>
                  <wp:effectExtent l="0" t="0" r="0" b="0"/>
                  <wp:docPr id="7" name="Рисунок 8" descr="C:\Users\Елена\Desktop\1235749178_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C:\Users\Елена\Desktop\1235749178_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14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73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Урна уличная железобетонная с оцинкованным вкладышем: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высота –520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ширина – 470 мм;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объем: 40л.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5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ab/>
        <w:t>Перечень дополнительных видов работ по благоустройству дворовых территорий многоквартирных домов: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оборудование детских и (или) спортивных площадок;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оборудование автомобильных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озеленение территорий, которое включает в себя: посадку деревьев, кустарников, газонов, снос и кронирование деревьев, корчевание пней и пр.;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устройство новых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ремонт существующих пешеходных дорожек;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окраска бордюрного камня;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 коврочистки, стойки для сушки белья и др.);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установка вазонов, цветочниц.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r>
        <w:rPr>
          <w:rFonts w:cs="Times New Roman" w:ascii="Times New Roman" w:hAnsi="Times New Roman"/>
          <w:sz w:val="24"/>
          <w:szCs w:val="24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Минимальный перечень работ по благоустройству дворовых территорий и дополнительный перечень работ по благоустройству дворовых территорий софинансируется за счет средств из федерального бюджета, областного бюджета  и бюджета муниципального образования «Погарское городское поселение» на текущий финансовый год.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</w:t>
      </w:r>
      <w:r>
        <w:rPr>
          <w:rFonts w:cs="Times New Roman" w:ascii="Times New Roman" w:hAnsi="Times New Roman"/>
          <w:sz w:val="24"/>
          <w:szCs w:val="24"/>
        </w:rPr>
        <w:t>Погарского городского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, на которых планируется </w:t>
      </w:r>
      <w:r>
        <w:rPr>
          <w:rFonts w:cs="Times New Roman" w:ascii="Times New Roman" w:hAnsi="Times New Roman"/>
          <w:bCs/>
          <w:sz w:val="24"/>
          <w:szCs w:val="24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>
      <w:pPr>
        <w:pStyle w:val="Normal"/>
        <w:widowControl w:val="false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При выполнении  видов работ, включенных в дополнительный  перечень, обязательным является: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>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>
      <w:pPr>
        <w:pStyle w:val="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Адресный перечень многоквартирных домов, дворовые территории которых подлежат благоустройству в 2018-2024 гг. представлен в приложении к муниципальной программе.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ab/>
        <w:t>Адресный перечень муниципальных территорий общего пользования, которые подлежат благоустройству в 2018-2024 гг. представлен в приложении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 представлен в приложении к муниципальной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6.1. Условия об уровне финансового участия жителей многоквартирных домов</w:t>
      </w:r>
    </w:p>
    <w:p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Финансовое участие жителей обязательно при благоустройстве объектов, указанных в дополнительном перечне работ по благоустройству дворовых территорий.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6.2. Условия о проведении работ по благоустройству в части обеспечения доступности для маломобильных групп населения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>
      <w:pPr>
        <w:pStyle w:val="ConsPlus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Описание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основных рисков, оказывающих влияние на конечные результаты реализации мероприятий муниципальной программы, а также способов снижения вероятности возникновения неблагоприятных последствий в целях обеспечения бесперебойности реализации мероприятий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При реализации программы могут возникнуть основные риски, оказывающие влияние на конечные результаты реализации мероприятий муниципальной программы, к числу которых относятся: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муниципальных программ;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управленческие (внутренние) риски, связанные с неэффективным управлением реализацией муниципальной программы, недостаточным контролем над реализацией программ.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Для предотвращения рисков, снижения вероятности возникновения неблагоприятных последствий и обеспечения бесперебойности реализации мероприятий муниципальной программы предусмотрены следующие меры: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проведение информационно-разъяснительной работы в средствах массовой информации в целях стимулирования активности участия граждан и бизнес-структур в реализации проектов по благоустройству;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реализация комплекса мероприятий по вовлечению граждан и организаций в процесс общественных обсуждений объектов благоустройства, муниципальных программ, привлечение к участию в реализации мероприятий по благоустройству территорий;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осуществление общественного контроля;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- контроль и координация проекта общественной комиссией;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  <w:t>- проведение мониторинга за ходом выполнения муниципальной программы, в том числе реализацией конкретных мероприятий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val="ru-RU"/>
        </w:rPr>
      </w:r>
    </w:p>
    <w:p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8.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благоустройства, озеленения, обеспечения чистоты и порядка на территории  муниципального  образования «Погарское городское поселение» в СМИ.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>Разрабатывается и утверждается график проведения инвентаризации территорий.</w:t>
      </w:r>
    </w:p>
    <w:p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ab/>
        <w:t>По результатам проведения инвентаризации составляется паспорт благоустройства территории.</w:t>
      </w:r>
    </w:p>
    <w:p>
      <w:pPr>
        <w:pStyle w:val="ConsPlus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/>
          <w:color w:val="000000"/>
          <w:sz w:val="24"/>
          <w:szCs w:val="24"/>
          <w:lang w:val="ru-RU"/>
        </w:rPr>
        <w:tab/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 «Погарское городское поселение»  заключает соглашение с собственником (землепользователем) об их благоустройстве не позднее 2024 г.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  </w:t>
      </w:r>
    </w:p>
    <w:p>
      <w:pPr>
        <w:pStyle w:val="ConsPlusNormal"/>
        <w:spacing w:lineRule="auto" w:line="240" w:before="0" w:after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>9.  Порядок исключения из  адресного перечня  дворовых и общественных территорий, подлежащих благоустройству  в рамках реализации муниципальной программы.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а) администрация Погарского района  имеет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муниципального образования «Погарское городское поселение» 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>
        <w:rPr>
          <w:rFonts w:cs="Times New Roman" w:ascii="Times New Roman" w:hAnsi="Times New Roman"/>
          <w:iCs/>
          <w:color w:val="000000"/>
          <w:sz w:val="24"/>
          <w:szCs w:val="24"/>
        </w:rPr>
        <w:t xml:space="preserve">порядке,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установленном такой комиссией. </w:t>
      </w:r>
    </w:p>
    <w:p>
      <w:pPr>
        <w:pStyle w:val="Normal"/>
        <w:widowControl w:val="false"/>
        <w:ind w:firstLine="56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б)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Погарского района  имеет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>
        <w:rPr>
          <w:rFonts w:cs="Times New Roman" w:ascii="Times New Roman" w:hAnsi="Times New Roman"/>
          <w:sz w:val="24"/>
          <w:szCs w:val="24"/>
        </w:rPr>
        <w:t>возможно только при условии одобрения соответствующего решения межведомственной комиссией в порядке, установленном такой комиссией.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10.  Мероприятия по  проведению 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работ по образованию земельных участков, на которых расположены многоквартирные дома.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Брянской  области.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утвержденный администрацией Погарского района.</w:t>
      </w:r>
    </w:p>
    <w:p>
      <w:pPr>
        <w:pStyle w:val="Normal"/>
        <w:ind w:firstLine="567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11. У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словия о предельной дате заключения соглашений по результатам    закупки  товаров,  работ   и  услуг для  обеспечения муниципальных нужд в целях реализации муниципальной программы.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Мероприятия по благоустройству территорий реализуются с учетом: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обеспеченности проведение голосования по отбору общественных территорий; 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>
      <w:pPr>
        <w:pStyle w:val="Normal"/>
        <w:widowControl w:val="fals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2977" w:leader="none"/>
        </w:tabs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12. Основные меры правового регулирования, направленные на достижение целей и решение задач муниципальной программы.</w:t>
      </w:r>
    </w:p>
    <w:p>
      <w:pPr>
        <w:pStyle w:val="Normal"/>
        <w:widowControl w:val="false"/>
        <w:spacing w:before="0" w:after="16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Для реализации муниципальной программы, достижение целей и решения задач муниципальной программы администрации Погарского района  осуществляют свою деятельность  в соответствии  со следующими нормативно-правовыми  актами:</w:t>
      </w:r>
    </w:p>
    <w:p>
      <w:pPr>
        <w:pStyle w:val="Normal"/>
        <w:widowControl w:val="false"/>
        <w:spacing w:before="0" w:after="16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-Бюджетный кодекс Российской Федерации;</w:t>
      </w:r>
    </w:p>
    <w:p>
      <w:pPr>
        <w:pStyle w:val="Normal"/>
        <w:widowControl w:val="false"/>
        <w:spacing w:before="0" w:after="16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Федеральный закон  от 06.10.2003 г. №131-ФЗ «Об общих принципах организации местного самоуправления в Российской Федерации»;</w:t>
      </w:r>
    </w:p>
    <w:p>
      <w:pPr>
        <w:pStyle w:val="Normal"/>
        <w:widowControl w:val="false"/>
        <w:spacing w:before="0" w:after="16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- Постановление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</w:t>
      </w:r>
      <w:r>
        <w:rPr>
          <w:rFonts w:cs="Times New Roman" w:ascii="Times New Roman" w:hAnsi="Times New Roman"/>
          <w:sz w:val="24"/>
          <w:szCs w:val="24"/>
          <w:highlight w:val="white"/>
        </w:rPr>
        <w:t>от  09.02.2019 № 106),</w:t>
      </w:r>
    </w:p>
    <w:p>
      <w:pPr>
        <w:pStyle w:val="Normal"/>
        <w:widowControl w:val="false"/>
        <w:spacing w:before="0" w:after="160"/>
        <w:ind w:firstLine="539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eastAsia="" w:cs="Times New Roman" w:ascii="Times New Roman" w:hAnsi="Times New Roman" w:eastAsiaTheme="minorEastAsia"/>
          <w:sz w:val="24"/>
          <w:szCs w:val="24"/>
          <w:highlight w:val="white"/>
        </w:rPr>
        <w:t>- Устав Погарского района, утвержденный решением Погарского районного Совета народных депутатов от 29.03.2012 № 4-283</w:t>
      </w:r>
    </w:p>
    <w:p>
      <w:pPr>
        <w:pStyle w:val="Normal"/>
        <w:widowControl w:val="false"/>
        <w:spacing w:lineRule="auto" w:line="240" w:before="0" w:after="160"/>
        <w:ind w:firstLine="539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ru-RU"/>
        </w:rPr>
        <w:t xml:space="preserve">Важнейшей задачей органов местного самоуправления Погарского района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7911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eastAsia="Times New Roman" w:cs="Times New Roman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f90261"/>
    <w:rPr/>
  </w:style>
  <w:style w:type="character" w:styleId="Style13">
    <w:name w:val="Интернет-ссылка"/>
    <w:basedOn w:val="DefaultParagraphFont"/>
    <w:uiPriority w:val="99"/>
    <w:semiHidden/>
    <w:unhideWhenUsed/>
    <w:rsid w:val="00f90261"/>
    <w:rPr>
      <w:color w:val="0000FF"/>
      <w:u w:val="single"/>
    </w:rPr>
  </w:style>
  <w:style w:type="character" w:styleId="Style14">
    <w:name w:val="Основной текст_"/>
    <w:basedOn w:val="DefaultParagraphFont"/>
    <w:qFormat/>
    <w:rPr>
      <w:rFonts w:ascii="Times New Roman" w:hAnsi="Times New Roman"/>
      <w:sz w:val="23"/>
      <w:szCs w:val="23"/>
      <w:shd w:fill="FFFFFF" w:val="clear"/>
    </w:rPr>
  </w:style>
  <w:style w:type="character" w:styleId="0pt">
    <w:name w:val="Основной текст + Интервал 0 pt"/>
    <w:basedOn w:val="Style14"/>
    <w:qFormat/>
    <w:rPr>
      <w:rFonts w:ascii="Times New Roman" w:hAnsi="Times New Roman"/>
      <w:color w:val="000000"/>
      <w:spacing w:val="-2"/>
      <w:w w:val="100"/>
      <w:sz w:val="23"/>
      <w:szCs w:val="23"/>
      <w:shd w:fill="FFFFFF" w:val="clear"/>
      <w:lang w:val="ru-RU"/>
    </w:rPr>
  </w:style>
  <w:style w:type="character" w:styleId="7">
    <w:name w:val="Основной текст + 7"/>
    <w:basedOn w:val="Style14"/>
    <w:qFormat/>
    <w:rPr>
      <w:rFonts w:ascii="Times New Roman" w:hAnsi="Times New Roman"/>
      <w:color w:val="000000"/>
      <w:spacing w:val="2"/>
      <w:w w:val="100"/>
      <w:sz w:val="15"/>
      <w:szCs w:val="15"/>
      <w:shd w:fill="FFFFFF" w:val="clear"/>
      <w:lang w:val="ru-RU"/>
    </w:rPr>
  </w:style>
  <w:style w:type="character" w:styleId="1">
    <w:name w:val="Основной текст1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  <w:lang w:val="ru-RU"/>
    </w:rPr>
  </w:style>
  <w:style w:type="character" w:styleId="10pt">
    <w:name w:val="Основной текст + 10 pt"/>
    <w:basedOn w:val="Style14"/>
    <w:qFormat/>
    <w:rPr>
      <w:rFonts w:ascii="Times New Roman" w:hAnsi="Times New Roman"/>
      <w:color w:val="000000"/>
      <w:w w:val="100"/>
      <w:sz w:val="20"/>
      <w:szCs w:val="20"/>
      <w:shd w:fill="FFFFFF" w:val="clear"/>
      <w:lang w:val="ru-RU"/>
    </w:rPr>
  </w:style>
  <w:style w:type="character" w:styleId="2">
    <w:name w:val="Основной текст2"/>
    <w:basedOn w:val="Style14"/>
    <w:qFormat/>
    <w:rPr>
      <w:rFonts w:ascii="Times New Roman" w:hAnsi="Times New Roman"/>
      <w:color w:val="000000"/>
      <w:w w:val="100"/>
      <w:sz w:val="23"/>
      <w:szCs w:val="23"/>
      <w:shd w:fill="FFFFFF" w:val="clea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d13cd"/>
    <w:pPr>
      <w:spacing w:before="0" w:after="200"/>
      <w:ind w:left="720" w:hanging="0"/>
      <w:contextualSpacing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31">
    <w:name w:val="Основной текст3"/>
    <w:basedOn w:val="Normal"/>
    <w:qFormat/>
    <w:pPr>
      <w:widowControl w:val="false"/>
      <w:shd w:val="clear" w:color="auto" w:fill="FFFFFF"/>
      <w:spacing w:lineRule="atLeast" w:line="240" w:before="0" w:after="0"/>
    </w:pPr>
    <w:rPr>
      <w:rFonts w:ascii="Times New Roman" w:hAnsi="Times New Roman"/>
      <w:sz w:val="23"/>
      <w:szCs w:val="23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/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Calibri" w:hAnsi="Calibri" w:eastAsia="Times New Roman" w:cs="" w:asciiTheme="minorHAnsi" w:cstheme="minorBidi" w:hAnsiTheme="minorHAnsi"/>
      <w:color w:val="00000A"/>
      <w:sz w:val="16"/>
      <w:szCs w:val="16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3;&#1086;&#1088;&#1086;&#1076;&#1089;&#1082;&#1072;&#1103;_&#1089;&#1088;&#1077;&#1076;&#1072;_&#1086;&#1073;&#1080;&#1090;&#1072;&#1085;&#1080;&#1103;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gif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2832-E607-40A3-9FA6-05CF9F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2518</TotalTime>
  <Application>LibreOffice/5.1.3.2$Windows_x86 LibreOffice_project/644e4637d1d8544fd9f56425bd6cec110e49301b</Application>
  <Pages>16</Pages>
  <Words>3913</Words>
  <Characters>27923</Characters>
  <CharactersWithSpaces>31986</CharactersWithSpaces>
  <Paragraphs>570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2017-02-02T09:01:00Z</dcterms:created>
  <dc:creator>User</dc:creator>
  <dc:description/>
  <dc:language>ru-RU</dc:language>
  <cp:lastModifiedBy/>
  <cp:lastPrinted>2019-04-30T20:17:53Z</cp:lastPrinted>
  <dcterms:modified xsi:type="dcterms:W3CDTF">2019-04-30T20:18:10Z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