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29.12.23г.№765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пгт Погар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внесении  изменений  и дополнений в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муниципальную программу «Развитие образования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Погарского района», утвержденную постановлением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 Погарского района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29.12.2018 г № 994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решением Погарского районного Совета народных депутатов от 25.12.2023г. №6-359  «О  бюджете  Погарского муниципального района  Брянской области на 2024 год и плановый период 2025 и 2026 годов»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муниципальную программу «Развитие образования  Погарского  района», утвержденную  постановлением администрации Погарского района от 29.12.2018 года № 994 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493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Паспорт муниципальной программы «Развитие образования  Погарского  района»  изложить в новой редакции.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1.2.Приложение 1 и приложение 2 к муниципальной программе «Развитие  образования   Погарского района» изложить в новой редакции  согласно приложению.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управления образования администрации Погарского  района  А.В.Быкова.</w:t>
      </w:r>
    </w:p>
    <w:p>
      <w:pPr>
        <w:pStyle w:val="Normal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</w:t>
        <w:tab/>
        <w:t xml:space="preserve">                                                                С.И.Цыганок</w:t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Утверждена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Погарского района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 29.12.23г № 765</w:t>
      </w:r>
    </w:p>
    <w:p>
      <w:pPr>
        <w:pStyle w:val="ConsPlusNormal"/>
        <w:jc w:val="right"/>
        <w:rPr>
          <w:rFonts w:ascii="Times New Roman" w:hAnsi="Times New Roman"/>
          <w:b w:val="false"/>
          <w:sz w:val="32"/>
          <w:szCs w:val="32"/>
        </w:rPr>
      </w:pPr>
      <w:r>
        <w:rPr>
          <w:rFonts w:ascii="Times New Roman" w:hAnsi="Times New Roman"/>
          <w:b w:val="false"/>
          <w:sz w:val="32"/>
          <w:szCs w:val="32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32"/>
          <w:szCs w:val="32"/>
        </w:rPr>
        <w:t>МУНИЦИПАЛЬНАЯ ПРОГРАММА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32"/>
          <w:szCs w:val="32"/>
        </w:rPr>
        <w:t xml:space="preserve">«Развитие образования Погарского района»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ПАСПОРТ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 xml:space="preserve">«Развитие образования Погарского района»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5"/>
        <w:gridCol w:w="6168"/>
      </w:tblGrid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Наименование государственной программы</w:t>
            </w:r>
          </w:p>
        </w:tc>
        <w:tc>
          <w:tcPr>
            <w:tcW w:w="6168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«Развитие образования Погарского района»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Ответственный исполнитель государственной программы</w:t>
            </w:r>
          </w:p>
        </w:tc>
        <w:tc>
          <w:tcPr>
            <w:tcW w:w="6168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 xml:space="preserve">Управление образования администрации Погарского  района </w:t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Соисполнители государственной программы</w:t>
            </w:r>
          </w:p>
        </w:tc>
        <w:tc>
          <w:tcPr>
            <w:tcW w:w="6168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Муниципальные бюджетные образовательные учреждения</w:t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Цели муниципальной программы</w:t>
            </w:r>
          </w:p>
        </w:tc>
        <w:tc>
          <w:tcPr>
            <w:tcW w:w="6168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1) Обеспечение устойчивого развития муниципальной системы образования, доступности, повышения качества и эффективности образования в соответствии с современными потребностями общества и каждого гражданина;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2) совершенствование организации и управления системой дошкольного, начального общего, основного общего, среднего общего образования, подготовки, переподготовки и повышения квалификации педагогических кадров в соответствии с программой социально-экономического развития области;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3) социальная поддержка и защита населения в сфере образования.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4)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Создание условий для увеличения охвата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Задачи муниципальной программы</w:t>
            </w:r>
          </w:p>
        </w:tc>
        <w:tc>
          <w:tcPr>
            <w:tcW w:w="6168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1)Формирование экономических условий, обеспечивающих муниципальную систему образования финансовыми, материально-техническими ресурсами;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2)создание и развитие муниципальной системы оценки качества образования;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3)создание условий для повышения качества дошкольного, начального общего, основного общего, среднего общего образования;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4)повышение эффективности использования информационно-коммуникационных технологий в образовательном процессе;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5)осуществление комплексных мер по стимулированию инновационной деятельности образовательных учреждений и педагогических работников;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6)обеспечение развития муниципальной системы воспитания и дополнительного образования;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7)обеспечение условий для улучшения качества питания обучающихся, здоровья обучающихся и педагогических работников;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8)организация временной занятости несовершеннолетних 14-17 лет, в том числе попавших в трудную жизненную ситуацию;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 xml:space="preserve">9)осуществление поддержки одаренных детей; 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10)осуществление поддержки противодействию злоупотребления наркотических средств и их незаконному обороту;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11)способствование повышению уровня патриотического воспитания детей;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12)развитие туристско-краеведческого направления воспитания среди школьников;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13)совершенствование педагогического корпуса;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14)модернизация и развитие инфраструктуры, ресурсного обеспечения системы образования;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15)создание современной системы непрерывного образования, повышения квалификации и переподготовки профессиональных кадров;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16)повышение эффективности управления при изменении организационно-правовых форм деятельности учебных заведений;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17)контроль качества образования в образовательных учреждениях, осуществление контроля за деятельностью учреждений (организаций), имеющих лицензии на право ведения образовательной деятельности, в части соблюдения лицензионных требований и условий;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18)предоставление компенсации части родительской платы за содержание ребенка в образовательных учреждениях, реализующих основную образовательную программу дошкольного образования;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19)предоставление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области;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20)</w:t>
            </w:r>
            <w:r>
              <w:rPr>
                <w:rFonts w:ascii="Times New Roman" w:hAnsi="Times New Roman"/>
                <w:kern w:val="0"/>
                <w:sz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посёлках городского типа Брянской области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21)повышение качества дополнительного образования детей и расширение спектра дополнительных образовательных услуг.</w:t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Этапы и сроки</w:t>
            </w:r>
          </w:p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реализации муниципальной программы</w:t>
            </w:r>
          </w:p>
        </w:tc>
        <w:tc>
          <w:tcPr>
            <w:tcW w:w="6168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2021-2026 годы</w:t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Объем бюджетных ассигнований</w:t>
            </w:r>
          </w:p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на реализацию муниципальной программы</w:t>
            </w:r>
          </w:p>
        </w:tc>
        <w:tc>
          <w:tcPr>
            <w:tcW w:w="61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 xml:space="preserve">Объем средств, предусмотренных на реализацию муниципальной программы ,составит                 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2021 год-440501526,32 рублей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2022 год-522080559,16 рублей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 w:themeColor="text1"/>
                <w:kern w:val="0"/>
                <w:sz w:val="28"/>
                <w:szCs w:val="20"/>
                <w:lang w:val="ru-RU" w:bidi="ar-SA"/>
              </w:rPr>
              <w:t>2023 год-503657262,71 рублей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 w:themeColor="text1"/>
                <w:kern w:val="0"/>
                <w:sz w:val="28"/>
                <w:szCs w:val="20"/>
                <w:lang w:val="ru-RU" w:bidi="ar-SA"/>
              </w:rPr>
              <w:t>2024 год-536400319,56 рублей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4"/>
                <w:lang w:val="ru-RU" w:bidi="ar-SA"/>
              </w:rPr>
              <w:t>2025год- 508943100,65  рублей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4"/>
                <w:lang w:val="ru-RU" w:bidi="ar-SA"/>
              </w:rPr>
              <w:t>2026год- 464291230,22  рублей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Ожидаемые результаты реализации</w:t>
            </w:r>
          </w:p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муниципальной программы</w:t>
            </w:r>
          </w:p>
        </w:tc>
        <w:tc>
          <w:tcPr>
            <w:tcW w:w="6168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Показатели результативности и эффективности реализации муниципальной программы, а также конечные результаты реализации</w:t>
            </w:r>
            <w:r>
              <w:rPr>
                <w:rFonts w:ascii="Times New Roman" w:hAnsi="Times New Roman"/>
                <w:kern w:val="0"/>
                <w:sz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 xml:space="preserve">муниципальной программы приведены в </w:t>
            </w:r>
            <w:hyperlink r:id="rId2">
              <w:r>
                <w:rPr>
                  <w:rFonts w:ascii="Times New Roman" w:hAnsi="Times New Roman"/>
                  <w:kern w:val="0"/>
                  <w:sz w:val="28"/>
                  <w:lang w:val="ru-RU" w:bidi="ar-SA"/>
                </w:rPr>
                <w:t>1</w:t>
              </w:r>
            </w:hyperlink>
            <w:r>
              <w:rPr>
                <w:rFonts w:ascii="Times New Roman" w:hAnsi="Times New Roman"/>
                <w:kern w:val="0"/>
                <w:sz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lang w:val="ru-RU" w:bidi="ar-SA"/>
              </w:rPr>
              <w:t>к муниципальной программе</w:t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1. Характеристика текущего состояния системы образования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Погарского района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пунктом 11 статьи 15 Федерального закона № 131-ФЗ от 6 октября 2003 года «Об общих принципах организации местного самоуправления в Российской Федерации» к полномочиям муниципального района относится: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44444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создание условий для осуществления присмотра и ухода за детьми, содержание детей в муниципальных образовательных организациях;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  <w:tab/>
        <w:t xml:space="preserve"> муниципальных образовательных организаций;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Наиболее актуальными проблемами в сфере образования Погарского района, на решение которых направлена программа, являются: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недостаточные условия для получения обучающимися качественного образования современного уровня;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ограниченность материально-технических ресурсов по введению ФГООС (недостаточное технологическое, учебно-методическое обеспечение, высокий износ основных фондов) образовательных учреждений;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ограниченный доступ образовательных учреждений к современным информационным системам;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низкая динамика кадрового обновления в системе обра</w:t>
      </w:r>
      <w:r>
        <w:rPr>
          <w:rFonts w:eastAsia="HiddenHorzOCR" w:ascii="Times New Roman" w:hAnsi="Times New Roman"/>
          <w:sz w:val="28"/>
          <w:szCs w:val="28"/>
          <w:lang w:bidi="he-IL"/>
        </w:rPr>
        <w:t>зования.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Система образования Погарского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момент разработки настоящей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собой: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общеобразовательных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средних школ, 6 основных школ.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7 школ (33%) являются малокомплектными школами; 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14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>, 3 дошкольных группы   при школах;</w:t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3 учреждения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>: МБУДО «Погарская детская школа искусств», МБУДО «Погарский дом творчества », МБУДО «Погарская детско-юношеская спортивная школа»;</w:t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МБУ «Центр психолого-педагогической, медицинской и социальной помощи» Погарского района.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принципа доступности прав граждан на образование, а также обеспечения требования обязательности общего образования муниципальная образовательная система предусматривает возможность получения образования в различных формах: в организациях, осуществляющих образовательную деятельность, в форме  самообразования и семейного образования. 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протяжении последних лет муниципальная система образования изменяет основные параметры своего функционирования: уменьшилось общее количество учреждений.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Изменение муниципальной системы образования</w:t>
      </w:r>
    </w:p>
    <w:tbl>
      <w:tblPr>
        <w:tblStyle w:val="a3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134"/>
        <w:gridCol w:w="992"/>
        <w:gridCol w:w="1133"/>
        <w:gridCol w:w="992"/>
        <w:gridCol w:w="1135"/>
        <w:gridCol w:w="993"/>
        <w:gridCol w:w="990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Сеть образовательных учреждений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  <w:t>2017-2018 уч.год.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  <w:t>2018-2019 уч.год.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  <w:t>2019-2020 уч.год.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lang w:val="ru-RU" w:bidi="ar-SA"/>
              </w:rPr>
              <w:t>2020-2021 уч.год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lang w:val="ru-RU" w:bidi="ar-SA"/>
              </w:rPr>
              <w:t>2021-2022 уч.год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lang w:val="ru-RU" w:bidi="ar-SA"/>
              </w:rPr>
              <w:t>2022-2023 уч.год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lang w:val="ru-RU" w:bidi="ar-SA"/>
              </w:rPr>
              <w:t>2023-2024 уч.год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lang w:val="ru-RU" w:bidi="ar-SA"/>
              </w:rPr>
              <w:t>Общеобразовательные учреждения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25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21</w:t>
            </w:r>
          </w:p>
        </w:tc>
      </w:tr>
      <w:tr>
        <w:trPr>
          <w:trHeight w:val="85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left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- начальные школы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 xml:space="preserve">0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Реорганизована МБОУ Граборовская НОШ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0</w:t>
            </w:r>
          </w:p>
        </w:tc>
      </w:tr>
      <w:tr>
        <w:trPr>
          <w:trHeight w:val="194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- основные школы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left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Ликвидация МБОУ Березовская ООШ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6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Ликвидация МБОУ Дареевская ООШ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6</w:t>
            </w:r>
          </w:p>
        </w:tc>
      </w:tr>
      <w:tr>
        <w:trPr>
          <w:trHeight w:val="94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- средние школы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15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ru-RU" w:bidi="ar-SA"/>
              </w:rPr>
              <w:t>Ликвидация МБОУ Андрейковичская СОШ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2.Дошкольные образовательные учреждения: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 xml:space="preserve">15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Ликвидирован МБДОУ-Стеченский детский сад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14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Ликвидирован МБДОУ Лукинский детский сад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14</w:t>
            </w:r>
          </w:p>
        </w:tc>
      </w:tr>
      <w:tr>
        <w:trPr>
          <w:trHeight w:val="69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- городские детские сады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-сельские детские сады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- дошкольные группы при общеобразовательных учреждениях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6"/>
                <w:lang w:val="ru-RU" w:bidi="ar-SA"/>
              </w:rPr>
              <w:t xml:space="preserve"> приостановление образовательной деятельности группы кратковременного пребывания детей при МБОУ Бобрикская СОШ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3.Учреждения дополнительного образования детей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4. Центр психолого-педагогической, медицинской и социальной помощи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jc w:val="center"/>
              <w:outlineLvl w:val="0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Дошкольным образованием в настоящее время  охвачены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697</w:t>
      </w:r>
      <w:r>
        <w:rPr>
          <w:rFonts w:ascii="Times New Roman" w:hAnsi="Times New Roman"/>
          <w:sz w:val="28"/>
          <w:szCs w:val="28"/>
          <w:lang w:eastAsia="en-US"/>
        </w:rPr>
        <w:t xml:space="preserve"> детей, что составляет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91,7%</w:t>
      </w:r>
      <w:r>
        <w:rPr>
          <w:rFonts w:ascii="Times New Roman" w:hAnsi="Times New Roman"/>
          <w:sz w:val="28"/>
          <w:szCs w:val="28"/>
          <w:lang w:eastAsia="en-US"/>
        </w:rPr>
        <w:t xml:space="preserve"> детского населения в возрасте от 3 до 7 лет. 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>Показатели прогноза численности детей в дошкольных образовательных учреждениях  на период до 2024  года характеризуются следующими данными: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Динамика численности детей в дошкольных образовательных учреждениях </w:t>
      </w:r>
    </w:p>
    <w:p>
      <w:pPr>
        <w:pStyle w:val="Normal"/>
        <w:suppressAutoHyphens w:val="true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период 2021-2026 годов</w:t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783"/>
        <w:gridCol w:w="1186"/>
        <w:gridCol w:w="1133"/>
        <w:gridCol w:w="1135"/>
        <w:gridCol w:w="1185"/>
        <w:gridCol w:w="1083"/>
        <w:gridCol w:w="1133"/>
      </w:tblGrid>
      <w:tr>
        <w:trPr>
          <w:trHeight w:val="333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января 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января 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января 2023 г.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января 2024 г.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января 2025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января 2026 г.</w:t>
            </w:r>
          </w:p>
        </w:tc>
      </w:tr>
      <w:tr>
        <w:trPr>
          <w:trHeight w:val="333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общеобразовательные учреждения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располагаются в границах Погарского района по основным  транспортным направлениям с максимальной удаленностью от районного центра 30-35 км. </w:t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районе в рамках реализации программы «Школьный автобус»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13 </w:t>
      </w:r>
      <w:r>
        <w:rPr>
          <w:rFonts w:ascii="Times New Roman" w:hAnsi="Times New Roman"/>
          <w:sz w:val="28"/>
          <w:szCs w:val="28"/>
        </w:rPr>
        <w:t>школьных автобусов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осуществляют подвоз учащихся и воспитанников близлежащих населенных пунктов: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 Борщовская  СОШ: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проживающих в д.Лобки;</w:t>
      </w:r>
    </w:p>
    <w:p>
      <w:pPr>
        <w:pStyle w:val="Normal"/>
        <w:widowControl w:val="false"/>
        <w:suppressAutoHyphens w:val="true"/>
        <w:ind w:right="-1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 Вадьковская СОШ: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проживающих в  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д.Бугаевка, д.Чеховка, п.г.т.Погар;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 Витемлянская СОШ: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               проживающих в д.Запесочье, д.Евдоколье, д. Василевка, х.Торкин, пос.Кр.Угол, д.Исаевка;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 Гетуновская СОШ: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проживающих в х.Синицкий, х.Граборовка, х.Авсеенков, х.Роговичи, п.Песчанки,х.Чаков, п. Гетуновка, п.г.т. Погар;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МБОУ Городищенская СОШ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проживающих в с.Дареевск, д.Лукин, д.Перегон, х.Вара, д.Чубарово, п. Белевица,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МБОУ-Долботовская СОШ: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проживающих в с.Савостьяны, д.Абаринки, д.Ковалево Стародубского района; д.Михновка;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 Кистерская СОШ: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проживающих в д.Гудовка, д.Сухосеевка, </w:t>
      </w:r>
      <w:r>
        <w:rPr>
          <w:rFonts w:ascii="Times New Roman" w:hAnsi="Times New Roman"/>
          <w:color w:val="000000" w:themeColor="text1"/>
          <w:sz w:val="28"/>
          <w:szCs w:val="28"/>
        </w:rPr>
        <w:t>с. Андрейковичи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МБОУ-Стеченская  СОШ:</w:t>
      </w:r>
      <w:r>
        <w:rPr>
          <w:rFonts w:ascii="Times New Roman" w:hAnsi="Times New Roman"/>
          <w:sz w:val="28"/>
          <w:szCs w:val="28"/>
        </w:rPr>
        <w:t>. осуществляется подвоз учащихся, проживающих в   д.Грязивец, д.Бугаевка,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 Суворовская СОШ:</w:t>
      </w:r>
      <w:r>
        <w:rPr>
          <w:rFonts w:ascii="Times New Roman" w:hAnsi="Times New Roman"/>
          <w:sz w:val="28"/>
          <w:szCs w:val="28"/>
        </w:rPr>
        <w:t xml:space="preserve"> осуществляется подвоз учащихся, проживающих в  с.Курово, п.Белевица;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МБОУ-Юдиновская СОШ: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осуществляется подвоз учащихся, проживающих в  д.Прирубки, д.Красная Роща, с.Заречное; д.Березовка, с.Балыкино, п.Первомайский.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МБОУ Посудичская ООШ</w:t>
      </w:r>
      <w:r>
        <w:rPr>
          <w:rFonts w:ascii="Times New Roman" w:hAnsi="Times New Roman"/>
          <w:sz w:val="28"/>
          <w:szCs w:val="28"/>
        </w:rPr>
        <w:t>: осуществляется подвоз учащихся, проживающих в д.Жигалки, п.Буденный;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Дальнейшее приобретение школьных автобусов позволяет увеличить территориальное взаимодействие  и доступность образовательных услуг в районе.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На протяжении ряда  лет  в районе прослеживается тенденция снижения контингента учащихся. Анализируя данные прогноза контингента обучающихся до 2024 года, следует отметить  дальнейшее  уменьшение числа школьников.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firstLine="7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Численность учащихся в учреждениях  </w:t>
      </w:r>
    </w:p>
    <w:p>
      <w:pPr>
        <w:pStyle w:val="Normal"/>
        <w:widowControl w:val="false"/>
        <w:suppressAutoHyphens w:val="true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(по состоянию на 1 января)</w:t>
      </w:r>
    </w:p>
    <w:tbl>
      <w:tblPr>
        <w:tblW w:w="91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08"/>
        <w:gridCol w:w="993"/>
        <w:gridCol w:w="1039"/>
        <w:gridCol w:w="940"/>
        <w:gridCol w:w="850"/>
        <w:gridCol w:w="1080"/>
        <w:gridCol w:w="957"/>
      </w:tblGrid>
      <w:tr>
        <w:trPr/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обучающихся  по годам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</w:p>
        </w:tc>
      </w:tr>
      <w:tr>
        <w:trPr/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ступень (1-4 кл.)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</w:t>
            </w:r>
          </w:p>
        </w:tc>
      </w:tr>
      <w:tr>
        <w:trPr/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ступень (5-9 кл.)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</w:t>
            </w:r>
          </w:p>
        </w:tc>
      </w:tr>
      <w:tr>
        <w:trPr/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ступень (10-11кл.)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</w:tr>
      <w:tr>
        <w:trPr/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2572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2571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</w:t>
            </w:r>
          </w:p>
        </w:tc>
      </w:tr>
    </w:tbl>
    <w:p>
      <w:pPr>
        <w:pStyle w:val="Normal"/>
        <w:widowControl w:val="false"/>
        <w:suppressAutoHyphens w:val="true"/>
        <w:ind w:left="360" w:hanging="240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</w:r>
    </w:p>
    <w:p>
      <w:pPr>
        <w:pStyle w:val="Normal"/>
        <w:widowControl w:val="false"/>
        <w:suppressAutoHyphens w:val="true"/>
        <w:spacing w:before="20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Дополнительное образование детей района обеспечивается функционированием сети  муниципальных учреждений: </w:t>
      </w:r>
    </w:p>
    <w:p>
      <w:pPr>
        <w:pStyle w:val="Normal"/>
        <w:widowControl w:val="false"/>
        <w:suppressAutoHyphens w:val="true"/>
        <w:spacing w:before="200"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Дом детского творчества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1047 </w:t>
      </w:r>
      <w:r>
        <w:rPr>
          <w:rFonts w:ascii="Times New Roman" w:hAnsi="Times New Roman"/>
          <w:sz w:val="28"/>
          <w:szCs w:val="28"/>
        </w:rPr>
        <w:t>обучающихся)</w:t>
      </w:r>
    </w:p>
    <w:p>
      <w:pPr>
        <w:pStyle w:val="Normal"/>
        <w:widowControl w:val="false"/>
        <w:suppressAutoHyphens w:val="true"/>
        <w:spacing w:before="200"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Детская школа искусств  (</w:t>
      </w:r>
      <w:r>
        <w:rPr>
          <w:rFonts w:ascii="Times New Roman" w:hAnsi="Times New Roman"/>
          <w:color w:val="000000" w:themeColor="text1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 xml:space="preserve"> обучающихся)</w:t>
      </w:r>
    </w:p>
    <w:p>
      <w:pPr>
        <w:pStyle w:val="Normal"/>
        <w:widowControl w:val="false"/>
        <w:suppressAutoHyphens w:val="true"/>
        <w:spacing w:before="200"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Детско-юношеская спортивная школа  (218  </w:t>
      </w:r>
      <w:r>
        <w:rPr>
          <w:rFonts w:ascii="Times New Roman" w:hAnsi="Times New Roman"/>
          <w:sz w:val="28"/>
          <w:szCs w:val="28"/>
        </w:rPr>
        <w:t>обучающихся)</w:t>
      </w:r>
    </w:p>
    <w:p>
      <w:pPr>
        <w:pStyle w:val="Normal"/>
        <w:widowControl w:val="false"/>
        <w:tabs>
          <w:tab w:val="clear" w:pos="708"/>
          <w:tab w:val="left" w:pos="3315" w:leader="none"/>
          <w:tab w:val="left" w:pos="3420" w:leader="none"/>
        </w:tabs>
        <w:suppressAutoHyphens w:val="true"/>
        <w:spacing w:before="200"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системе дополнительного образования организовано </w:t>
      </w:r>
      <w:r>
        <w:rPr>
          <w:rFonts w:ascii="Times New Roman" w:hAnsi="Times New Roman"/>
          <w:color w:val="000000" w:themeColor="text1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объединений (кружков и секций), в которых занимаются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1432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ребенка. Работу кружков и секций организуют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43 </w:t>
      </w:r>
      <w:r>
        <w:rPr>
          <w:rFonts w:ascii="Times New Roman" w:hAnsi="Times New Roman"/>
          <w:sz w:val="28"/>
          <w:szCs w:val="28"/>
        </w:rPr>
        <w:t xml:space="preserve"> педагога  дополнительного образования,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тренеров-преподавателей.</w:t>
      </w:r>
    </w:p>
    <w:p>
      <w:pPr>
        <w:pStyle w:val="Normal"/>
        <w:widowControl w:val="false"/>
        <w:tabs>
          <w:tab w:val="clear" w:pos="708"/>
          <w:tab w:val="left" w:pos="3315" w:leader="none"/>
          <w:tab w:val="left" w:pos="3420" w:leader="none"/>
        </w:tabs>
        <w:suppressAutoHyphens w:val="true"/>
        <w:spacing w:before="200"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В школах района имеется 366 компьютеров, интерактивные комплексы (интерактивные доски), 40 принтеров, мультимедийных проекторов-28, имеется фото- и видеокамеры, сканеры. Количество компьютерных классов - 34. Среднее количество обучающихся на 1 компьютер –5. Во всех школах района установлено программное обеспечение и разработаны собственные сайты. Использование информационных технологий приводит к более высокому уровню проведения уроков, школьных, районных мероприятий.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внедрения новых информационных технологий в образовательный процесс в районе реализована система подготовки, переподготовки и повышения квалификации педагогических кадров.</w:t>
      </w:r>
    </w:p>
    <w:p>
      <w:pPr>
        <w:pStyle w:val="Normal"/>
        <w:suppressAutoHyphens w:val="true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региональных целевых программ и является основным механизмом формирования системы образования Погарского муниципального района как единого образовательного комплекса, определяя стратегию и основные направления развития муниципальной системы образования на 2019 – 2024 годы.</w:t>
      </w:r>
    </w:p>
    <w:p>
      <w:pPr>
        <w:pStyle w:val="Normal"/>
        <w:suppressAutoHyphens w:val="true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Бюджетные ассигнования не позволяют обеспечить стабильно высокий уровень качества и доступности образования в соответствии с новыми федеральными государственными образовательными стандартами, внедрение современных образовательных программ, развитие учебной, материально-технической базы образовательных учреждений, обеспечить доступность населению услуг дошкольного образования в полном объеме.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обеспечения успешной модернизации системы образования необходимо осуществлять обновление учебно-наглядного оборудования: лабораторных и демонстрационных приборов и приспособлений, печатных и аудиовизуальных пособий, технических средств обучения, школьной мебели, спортивного оборудования и инвентаря.</w:t>
      </w:r>
    </w:p>
    <w:p>
      <w:pPr>
        <w:pStyle w:val="Normal"/>
        <w:shd w:val="clear" w:color="auto" w:fill="FFFFFF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задач необходимо осуществить мероприятия в рамках данной программы.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Несмотря на постоянное пополнение и модернизацию компьютерного парка, происходит моральное и технологическое старение техники. 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последние годы значительно расширен рынок электронных образовательных ресурсов и услуг, существует многообразие предлагаемых интегрированных образовательных сред, автоматизированных систем управления образовательным процессом и других программных продуктов. Требуется системный подход к приобретению и внедрению современных электронных ресурсов.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Программа будет способствовать реализации намеченных направлений развития информатизации системы образования, и в конечном счете, повышению качества образования.</w:t>
      </w:r>
    </w:p>
    <w:p>
      <w:pPr>
        <w:pStyle w:val="Normal"/>
        <w:shd w:val="clear" w:color="auto" w:fill="FFFFFF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Нуждается в укреплении и материально-техническая база учреждений дошкольного образования, дополнительного образования детей, база для организации внеклассной работы в общеобразовательных учреждениях.</w:t>
      </w:r>
    </w:p>
    <w:p>
      <w:pPr>
        <w:pStyle w:val="Normal"/>
        <w:shd w:val="clear" w:color="auto" w:fill="FFFFFF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Недостаточно выделяется денежных средств на проведение районных мероприятий с педагогами и обучающимися и на обеспечение участия обучающихся в областных массовых мероприятиях. 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Несмотря на то, что в районе уделяется большое внимание вопросу организации школьного питания, подтверждением чего является 100%-ный охват горячим питанием обучающихся, существует ещё много нерешенных проблем. Основным недостатком в организации питания школьников 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Технологическое и холодильное оборудование пищеблоков образовательных учреждений также требует обновления.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Программа предназначена для дальнейшего перевода муниципальной системы образования в новое состояние, обеспечивающее качество и доступность образования, адекватное потребностям развивающейся личности, государства и общества. Воспитание у несовершеннолетних нравственного отношения к этническим группам и религиям.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2. Приоритеты в сфере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образования, цели и задачи муниципальной программы</w:t>
      </w:r>
    </w:p>
    <w:p>
      <w:pPr>
        <w:pStyle w:val="ConsPlusNormal"/>
        <w:tabs>
          <w:tab w:val="clear" w:pos="708"/>
          <w:tab w:val="left" w:pos="709" w:leader="none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Основной целью муниципальной программы является обеспечение устойчивого развития муниципальной системы образования, доступности, повышение качества и эффективности образования.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Для достижения вышеуказанной цели необходимо решить следующие задачи: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формирование экономических условий, обеспечивающих муниципальную систему образования финансовыми, материально-техническими ресурсами;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создание и развитие муниципальной системы оценки качества образования;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создание условий для повышения качества дошкольного, начального общего, основного общего и среднего общего образования;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повышение эффективности использования информационно-коммуникационных технологий в образовательном процессе;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обеспечение развития муниципальной системы воспитания и дополнительного образования;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обеспечение условий для улучшения качества питания обучающихся, здоровья обучающихся и педагогических работников;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организация временной занятости несовершеннолетних 14-17 лет, в том числе попавших в трудную жизненную ситуацию;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- осуществление поддержки одаренных детей; 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осуществление поддержки противодействию злоупотребления наркотических средств и их незаконному обороту;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способствование повышению уровня патриотического воспитания детей;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развитие туристско-краеведческого направления воспитания  среди школьников;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совершенствование педагогического корпуса.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Погарском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Погарского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Погарском районе.</w:t>
      </w:r>
    </w:p>
    <w:p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ConsPlusTitle"/>
        <w:numPr>
          <w:ilvl w:val="0"/>
          <w:numId w:val="0"/>
        </w:numPr>
        <w:ind w:firstLine="567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3. Сроки реализации муниципальной программы</w:t>
      </w:r>
    </w:p>
    <w:p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Реализация муниципальной программы «Развитие образования Погарского муниципального района»  осуществляется в 2019 - 2024 годах.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"/>
        <w:numPr>
          <w:ilvl w:val="0"/>
          <w:numId w:val="0"/>
        </w:numPr>
        <w:ind w:firstLine="567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4. Ресурсное обеспечение реализации</w:t>
      </w:r>
    </w:p>
    <w:p>
      <w:pPr>
        <w:pStyle w:val="ConsPlusTitle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муниципальной программы</w:t>
      </w:r>
    </w:p>
    <w:p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Мероприятия программы реализуются за счет средств федерального, областного и районного   бюджета.</w:t>
      </w:r>
    </w:p>
    <w:p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Мероприятия программы подлежат уточнению по объемам ассигнований, предусмотренных в районном бюджете на соответствующие годы, с учетом возможностей доходной части  бюджета.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7"/>
        <w:gridCol w:w="1244"/>
        <w:gridCol w:w="1243"/>
        <w:gridCol w:w="1487"/>
        <w:gridCol w:w="1256"/>
        <w:gridCol w:w="1244"/>
        <w:gridCol w:w="1242"/>
      </w:tblGrid>
      <w:tr>
        <w:trPr/>
        <w:tc>
          <w:tcPr>
            <w:tcW w:w="1627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lang w:val="ru-RU" w:bidi="ar-SA"/>
              </w:rPr>
              <w:t>Источник финансирования</w:t>
            </w:r>
          </w:p>
        </w:tc>
        <w:tc>
          <w:tcPr>
            <w:tcW w:w="12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2021г.</w:t>
            </w:r>
          </w:p>
        </w:tc>
        <w:tc>
          <w:tcPr>
            <w:tcW w:w="1243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2022г.</w:t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2023г.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2024г.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2025г.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lang w:val="ru-RU" w:bidi="ar-SA"/>
              </w:rPr>
              <w:t>2026г.</w:t>
            </w:r>
          </w:p>
        </w:tc>
      </w:tr>
      <w:tr>
        <w:trPr>
          <w:trHeight w:val="896" w:hRule="atLeast"/>
        </w:trPr>
        <w:tc>
          <w:tcPr>
            <w:tcW w:w="16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lang w:val="ru-RU" w:bidi="ar-SA"/>
              </w:rPr>
              <w:t>Федеральный, областной,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18"/>
                <w:szCs w:val="18"/>
                <w:lang w:val="ru-RU" w:bidi="ar-SA"/>
              </w:rPr>
              <w:t>районный бюджет</w:t>
            </w:r>
          </w:p>
        </w:tc>
        <w:tc>
          <w:tcPr>
            <w:tcW w:w="12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440501526,32</w:t>
            </w:r>
          </w:p>
        </w:tc>
        <w:tc>
          <w:tcPr>
            <w:tcW w:w="1243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522080559,16</w:t>
            </w:r>
          </w:p>
        </w:tc>
        <w:tc>
          <w:tcPr>
            <w:tcW w:w="1487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503657262,71</w:t>
            </w:r>
          </w:p>
        </w:tc>
        <w:tc>
          <w:tcPr>
            <w:tcW w:w="12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lang w:val="ru-RU" w:bidi="ar-SA"/>
              </w:rPr>
              <w:t>536400319,56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lang w:val="ru-RU" w:bidi="ar-SA"/>
              </w:rPr>
              <w:t>508943100,65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lang w:val="ru-RU" w:bidi="ar-SA"/>
              </w:rPr>
              <w:t xml:space="preserve">464291230,22  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5.Основные меры правового регулирования,</w:t>
      </w:r>
    </w:p>
    <w:p>
      <w:pPr>
        <w:pStyle w:val="ConsPlus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направленные на достижение целей и решение задач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Правовое регулирование по достижению целей и решению задач реализации муниципальной программы  осуществляется в рамках действия законов: 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Закона Российской Федерации от 07.02.1992 № 2300-1 «О защите прав потребителей»;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Федеральным Законом от 29 декабря 2012 года № 273-ФЗ «Об образовании в Российской Федерации»;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Федерального закона от 24.07.1998 № 124-ФЗ «Об основных гарантиях прав ребенка в Российской Федерации»;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Федерального закона от 22 марта 2013 года № 44-ФЗ «О контрактной системе  в сфере закупок товаров, работ, услуг для обеспечения государственных и муниципальных нужд »;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Федерального закона от 02.05. 2006  № 59-ФЗ «О порядке рассмотрения обращений граждан Российской Федерации»;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6. Состав муниципальной программы</w:t>
      </w:r>
    </w:p>
    <w:p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Мероприятия программы будут реализованы через муниципальные образовательные учреждения и управление образования администрации Погарского муниципального района - распорядителя средств муниципального бюджета - в соответствии с планом реализации муниципальной программы.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Закупка и поставка товаров и услуг будет осуществляться на основании   муниципальных  контрактов, гражданско-правовых договоров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Управление образования администрация Погарского муниципального района  ежегодно уточняет с учетом выделяемых на реализацию программы финансовых средств целевые показатели и затраты по программным мероприятиям.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Планируемые мероприятия в сфере образования оказывают содействие реализации государственной политики в области модернизации системы общего образования на территории Погарского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Мероприятия позволяют: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провести мероприятия по повышению качества образования;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- повысить качество и доступность общего образования посредством внедрения  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современных информационных технологий и систем;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обеспечить повышение качества и доступности общего образования посредством развития транспортной инфраструктуры, увеличения парка школьных автобусов;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содействовать созданию на территории Погарского муниципального района сети опорных и базовых школ;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 содействовать развитию внутренней инфраструктуры школ и осуществлению мер энергосбережения;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обеспечивать повышение уровня квалификации учителей и руководителей общеобразовательных учреждений;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содействовать  решению задач по привлечению молодых педагогов в образовательные учреждения Погарского муниципального района.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7. Ожидаемые результаты реализации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Результатом проведения комплекса мер по модернизации системы общего образования Погарского муниципального района на период до 2024 года будет достижение следующих показателей: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соотношение  среднемесячной заработной платы учителей и заработной платы работников в целом по экономике в  Брянской области должно быть не менее 100 %;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доля школьников, обучающихся по федеральным государственным образовательным стандартам, в общей численности школьников достигнет:   в 2017 г. – 73 %; 2018 г. – 79 %; 2019 г. – 89%, 2020 г. – 95%, 2021г. – 100%, 2022г. – 100%.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соотношение  количества компьютеров, приходящихся на количество обучающихся в муниципальных общеобразовательных учреждениях,  1 : 5;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увеличение охвата учащихся, включенных в систему развития одаренных детей до 20%;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  составит  не менее  80 %;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составит не менее  95%;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  динамика снижения потребления по всем видам топливно-энергетических ресурсов составит не менее 3% за год.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– 22 %.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- доля детей в возрасте от 5 до 18 лет, охваченных  дополнительным образованием – 75 %.</w:t>
      </w:r>
      <w:r>
        <w:br w:type="page"/>
      </w:r>
    </w:p>
    <w:p>
      <w:pPr>
        <w:pStyle w:val="Normal"/>
        <w:tabs>
          <w:tab w:val="clear" w:pos="708"/>
          <w:tab w:val="left" w:pos="6735" w:leader="none"/>
        </w:tabs>
        <w:spacing w:lineRule="auto" w:line="240" w:before="0" w:after="0"/>
        <w:ind w:firstLine="709"/>
        <w:jc w:val="right"/>
        <w:rPr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Приложение 1 </w:t>
      </w:r>
    </w:p>
    <w:p>
      <w:pPr>
        <w:pStyle w:val="Normal"/>
        <w:tabs>
          <w:tab w:val="clear" w:pos="708"/>
          <w:tab w:val="left" w:pos="6735" w:leader="none"/>
        </w:tabs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clear" w:pos="708"/>
          <w:tab w:val="left" w:pos="6735" w:leader="none"/>
        </w:tabs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Погарского района                </w:t>
      </w:r>
    </w:p>
    <w:p>
      <w:pPr>
        <w:pStyle w:val="Normal"/>
        <w:tabs>
          <w:tab w:val="clear" w:pos="708"/>
          <w:tab w:val="left" w:pos="6735" w:leader="none"/>
        </w:tabs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29.12.23г №765</w:t>
      </w:r>
    </w:p>
    <w:p>
      <w:pPr>
        <w:pStyle w:val="Normal"/>
        <w:tabs>
          <w:tab w:val="clear" w:pos="708"/>
          <w:tab w:val="left" w:pos="6735" w:leader="none"/>
        </w:tabs>
        <w:spacing w:lineRule="auto" w:line="36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 и их значения</w:t>
      </w:r>
    </w:p>
    <w:tbl>
      <w:tblPr>
        <w:tblW w:w="5600" w:type="pct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295"/>
        <w:gridCol w:w="964"/>
        <w:gridCol w:w="1103"/>
        <w:gridCol w:w="965"/>
        <w:gridCol w:w="965"/>
        <w:gridCol w:w="1103"/>
        <w:gridCol w:w="1241"/>
        <w:gridCol w:w="1240"/>
      </w:tblGrid>
      <w:tr>
        <w:trPr>
          <w:trHeight w:val="405" w:hRule="atLeast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Normal"/>
              <w:spacing w:before="0" w:after="200"/>
              <w:ind w:right="-9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717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Целевые значения показателей (индикаторов)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7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(факт)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(факт)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2025(факт)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Целевое значение к 2026 году</w:t>
            </w:r>
          </w:p>
        </w:tc>
      </w:tr>
      <w:tr>
        <w:trPr>
          <w:trHeight w:val="569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 -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высокого качества образования в соответствии с перспективными задачами развития российского образования.</w:t>
            </w:r>
          </w:p>
        </w:tc>
      </w:tr>
      <w:tr>
        <w:trPr>
          <w:trHeight w:val="561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муниципальной программы - р</w:t>
            </w:r>
            <w:r>
              <w:rPr>
                <w:rFonts w:ascii="Times New Roman" w:hAnsi="Times New Roman"/>
                <w:sz w:val="24"/>
                <w:szCs w:val="24"/>
              </w:rPr>
              <w:t>еализация государственной политики в сфере образования на территории Погарского  района.</w:t>
            </w:r>
          </w:p>
        </w:tc>
      </w:tr>
      <w:tr>
        <w:trPr>
          <w:trHeight w:val="609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9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муниципальной программы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предоставления дошкольного, общего, дополнительного образования детей.</w:t>
            </w:r>
          </w:p>
        </w:tc>
      </w:tr>
      <w:tr>
        <w:trPr>
          <w:trHeight w:val="56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7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 детей в  дошкольных образовательных организаций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7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>
        <w:trPr>
          <w:trHeight w:val="56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7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дошкольными образовательными организациями (мест на 1000 детей дошкольного возраста)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7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56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27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 учащихся в общеобразовательных организациях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27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</w:p>
        </w:tc>
      </w:tr>
      <w:tr>
        <w:trPr>
          <w:trHeight w:val="21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27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лиц, сдавших единый государственный экзамен по обязательным предметам, от числа выпускников, участвовавших в ЕГЭ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9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охваченных горячим питанием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9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обучающихся, охваченных дополнительным образованием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>
        <w:trPr>
          <w:trHeight w:val="9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60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муниципальной программы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оздоровительной компании детей, работа с детьми и молодежью.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9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Охват  детей и подростков формами организованного летнего отдыха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>
        <w:trPr>
          <w:trHeight w:val="9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муниципальной программы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сферы образования.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841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первую смену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>
        <w:trPr>
          <w:trHeight w:val="9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для детей школьного возраста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8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перевода обучающихся из зданий школ с износом 50% и выше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color w:val="000000" w:themeColor="text1"/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7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5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6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c1503"/>
    <w:rPr>
      <w:rFonts w:ascii="Tahoma" w:hAnsi="Tahoma" w:cs="Tahoma"/>
      <w:sz w:val="16"/>
      <w:szCs w:val="16"/>
    </w:rPr>
  </w:style>
  <w:style w:type="character" w:styleId="-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648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c15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be11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BF75FBBED0656621424BBC43825CFC65DEECBEC816415ABD292FAAB8F72C39DC4A042244CFF8FD81581656QE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FF64-7AEC-4921-BB14-E930FC61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LibreOffice/7.5.9.2$Windows_X86_64 LibreOffice_project/cdeefe45c17511d326101eed8008ac4092f278a9</Application>
  <AppVersion>15.0000</AppVersion>
  <Pages>19</Pages>
  <Words>3198</Words>
  <Characters>24431</Characters>
  <CharactersWithSpaces>27572</CharactersWithSpaces>
  <Paragraphs>478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2024-01-29T06:42:00Z</dcterms:created>
  <dc:creator>Экономист</dc:creator>
  <dc:description/>
  <dc:language>ru-RU</dc:language>
  <cp:lastModifiedBy/>
  <cp:lastPrinted>2024-01-24T06:57:00Z</cp:lastPrinted>
  <dcterms:modified xsi:type="dcterms:W3CDTF">2024-01-29T15:42:14Z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