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 ПОГАРСКОГО РАЙОНА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БРЯНСКОЙ ОБЛАСТИ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от 29.03.2021 г. № 202                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пгт Погар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Программы комплексного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развития социальной инфраструктуры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Погарского городского поселения Погарского района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>Брянской области на 2021-2024 годы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01.10.2015г. № 1050 «Об утверждении требований к программам комплексного развития социальной инфраструктуры поселений, городских округов», ст. 26 Градостроительного кодекса Российской Федерации, руководствуясь Уставом муниципального образования Погарского городского поселения Погарского района Брянской области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      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widowControl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1. Утвердить Программу комплексного развития социальной инфраструктуры Погарского городского поселения Погарского района Брянской области на 2021-2024 годы согласно приложению.</w:t>
      </w:r>
    </w:p>
    <w:p>
      <w:pPr>
        <w:pStyle w:val="Normal"/>
        <w:widowControl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2. Настоящее постановление опубликовать в периодическом печатном издании «Сборник нормативных правовы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х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актов Погарского района» и разместить на официальном сайте администрации Погарского района в сети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Интернет.</w:t>
      </w:r>
    </w:p>
    <w:p>
      <w:pPr>
        <w:pStyle w:val="Normal"/>
        <w:widowControl/>
        <w:ind w:firstLine="709"/>
        <w:jc w:val="both"/>
        <w:rPr>
          <w:b w:val="false"/>
          <w:b w:val="false"/>
          <w:bCs w:val="false"/>
        </w:rPr>
      </w:pP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3. Контроль за выполнением настоящего постановления возложить на первого заместителя главы администрации Погарского района                     С.П. Астапковича.</w:t>
      </w:r>
    </w:p>
    <w:p>
      <w:pPr>
        <w:pStyle w:val="Normal"/>
        <w:bidi w:val="0"/>
        <w:ind w:left="0" w:right="0" w:firstLine="585"/>
        <w:jc w:val="both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bidi w:val="0"/>
        <w:ind w:left="0" w:right="0" w:firstLine="585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адмнистрации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Погарского района                                                                            С.И. Цыганок</w:t>
      </w:r>
    </w:p>
    <w:p>
      <w:pPr>
        <w:pStyle w:val="Normal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widowControl/>
        <w:jc w:val="right"/>
        <w:rPr/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widowControl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  к </w:t>
      </w:r>
      <w:r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>
      <w:pPr>
        <w:pStyle w:val="Normal"/>
        <w:widowControl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Погарского района </w:t>
      </w:r>
    </w:p>
    <w:p>
      <w:pPr>
        <w:pStyle w:val="Normal"/>
        <w:widowControl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 29.03.2021 г. № 202</w:t>
      </w:r>
    </w:p>
    <w:p>
      <w:pPr>
        <w:pStyle w:val="Normal"/>
        <w:widowControl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120" w:after="12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Паспорт программы</w:t>
      </w:r>
    </w:p>
    <w:p>
      <w:pPr>
        <w:pStyle w:val="Normal"/>
        <w:widowControl/>
        <w:spacing w:lineRule="auto" w:line="240" w:before="120" w:after="120"/>
        <w:ind w:hanging="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1009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117"/>
      </w:tblGrid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 Программы</w:t>
            </w:r>
          </w:p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Программа комплексного развития социальной инфраструктуры Погарского городского поселения Погарского района Брянской области на 2021 – 2024 годы (далее - Программа)</w:t>
            </w:r>
          </w:p>
          <w:p>
            <w:pPr>
              <w:pStyle w:val="Normal"/>
              <w:widowControl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Основание для разработки Программы</w:t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Заказчик Программы</w:t>
            </w:r>
          </w:p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Разработчик Программы</w:t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>
          <w:trHeight w:val="87" w:hRule="atLeast"/>
        </w:trPr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Основная цель и задачи Программы</w:t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Цель:</w:t>
            </w:r>
          </w:p>
          <w:p>
            <w:pPr>
              <w:pStyle w:val="Normal"/>
              <w:tabs>
                <w:tab w:val="left" w:pos="3180" w:leader="none"/>
              </w:tabs>
              <w:spacing w:lineRule="auto" w:line="240" w:before="0" w:after="12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решение ключевых социально-экономических проблем поселения, создание условий для устойчивого социального и экономического развития с целью повышения качества  жизни населения</w:t>
            </w:r>
          </w:p>
          <w:p>
            <w:pPr>
              <w:pStyle w:val="Normal"/>
              <w:spacing w:lineRule="auto" w:line="24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Задачи:</w:t>
            </w:r>
          </w:p>
          <w:p>
            <w:pPr>
              <w:pStyle w:val="Normal"/>
              <w:spacing w:lineRule="auto" w:line="24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развитие различных форм малого бизнеса, потребительского рынка и стимулирование развития сферы услуг;</w:t>
            </w:r>
          </w:p>
          <w:p>
            <w:pPr>
              <w:pStyle w:val="Normal"/>
              <w:spacing w:lineRule="auto" w:line="24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привлечение инвестиций в приоритетные направления экономики;</w:t>
            </w:r>
          </w:p>
          <w:p>
            <w:pPr>
              <w:pStyle w:val="Normal"/>
              <w:spacing w:lineRule="auto" w:line="24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обеспечение дополнительных доходов в бюджет поселения;</w:t>
            </w:r>
          </w:p>
          <w:p>
            <w:pPr>
              <w:pStyle w:val="Normal"/>
              <w:spacing w:lineRule="auto" w:line="240"/>
              <w:ind w:firstLine="34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организация благоустройства и озеленения территории поселения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Сроки и этапы реализации Программы</w:t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2021 -2024 годы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Перечень основных мероприятий Программы</w:t>
            </w:r>
          </w:p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изложены в Приложении № 1 Программы </w:t>
            </w:r>
          </w:p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Исполнители мероприятий Программы </w:t>
            </w:r>
          </w:p>
          <w:p>
            <w:pPr>
              <w:pStyle w:val="Normal"/>
              <w:widowControl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Администрация Погарского района Брянской области</w:t>
            </w:r>
          </w:p>
          <w:p>
            <w:pPr>
              <w:pStyle w:val="Normal"/>
              <w:widowControl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Контроль за реализацией Программы</w:t>
            </w:r>
          </w:p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контроль за реализацией Программы осуществляется Главой администрации Погарского района Брянской области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Ожидаемые конечные результаты реализации Программы</w:t>
            </w:r>
          </w:p>
        </w:tc>
        <w:tc>
          <w:tcPr>
            <w:tcW w:w="711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100" w:after="10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Повышение качества, комфортности и уровня жизни населения, проживающего на территории Погарского городского поселения Погарского района Брянской области;</w:t>
            </w:r>
          </w:p>
          <w:p>
            <w:pPr>
              <w:pStyle w:val="Normal"/>
              <w:widowControl/>
              <w:spacing w:lineRule="auto" w:line="240"/>
              <w:jc w:val="both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>
      <w:pPr>
        <w:pStyle w:val="Normal"/>
        <w:widowControl/>
        <w:spacing w:lineRule="auto" w:line="240"/>
        <w:rPr>
          <w:rFonts w:ascii="Times New Roman" w:hAnsi="Times New Roman" w:eastAsia="SimSun" w:cs="Mangal"/>
          <w:b/>
          <w:b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b/>
          <w:b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57" w:after="57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Введение</w:t>
      </w:r>
    </w:p>
    <w:p>
      <w:pPr>
        <w:pStyle w:val="Normal"/>
        <w:widowControl/>
        <w:spacing w:lineRule="auto" w:line="240" w:before="57" w:after="57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ab/>
        <w:t xml:space="preserve">Необходимость реализации Федерального закона от 06.10.2003 г.  №131-ФЗ «Об общих принципах организации местного самоуправления в Российской Федерации» актуализировала в разработке эффективной  программы комплексного развития социальной инфраструктуры городского поселения. </w:t>
      </w:r>
    </w:p>
    <w:p>
      <w:pPr>
        <w:pStyle w:val="Normal"/>
        <w:widowControl/>
        <w:spacing w:lineRule="auto" w:line="240" w:before="0" w:after="0"/>
        <w:ind w:firstLine="720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Программа комплексного развития социальной инфраструктуры Погарского городского поселения Погарского района Брянской области (далее – Программа) содержит чёткие ориентиры по цели, задачам, ресурсам, потенциалу и об основных направлениях социально-экономического развития поселения на долгосрочную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социально-экономического развития Погарского городского поселения.</w:t>
      </w:r>
    </w:p>
    <w:p>
      <w:pPr>
        <w:pStyle w:val="Normal"/>
        <w:widowControl/>
        <w:spacing w:lineRule="auto" w:line="240" w:before="0" w:after="0"/>
        <w:ind w:firstLine="720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Цель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Normal"/>
        <w:widowControl/>
        <w:spacing w:lineRule="auto" w:line="240" w:before="0" w:after="0"/>
        <w:ind w:firstLine="720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Для обеспечения условий успешного выполнения мероприятий 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Погарского городского поселения.</w:t>
      </w:r>
    </w:p>
    <w:p>
      <w:pPr>
        <w:pStyle w:val="Normal"/>
        <w:widowControl/>
        <w:spacing w:lineRule="auto" w:line="240" w:before="57" w:after="57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 w:before="57" w:after="57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 w:before="57" w:after="57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 w:before="57" w:after="57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108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108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108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1080" w:hanging="0"/>
        <w:jc w:val="center"/>
        <w:outlineLvl w:val="1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1. Социально-экономическое положение и основные направления развития Погарского городского поселения</w:t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/>
        </w:rPr>
      </w:pP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  <w:t xml:space="preserve">            </w:t>
      </w: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  <w:t>Погарского района Брянской области</w:t>
      </w:r>
    </w:p>
    <w:p>
      <w:pPr>
        <w:pStyle w:val="Normal"/>
        <w:widowControl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1.1.Общая характеристика Погарского городского поселения</w:t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Погарского района Брянской области</w:t>
      </w:r>
    </w:p>
    <w:p>
      <w:pPr>
        <w:pStyle w:val="Normal"/>
        <w:widowControl/>
        <w:spacing w:lineRule="auto" w:line="240"/>
        <w:ind w:firstLine="720"/>
        <w:rPr>
          <w:rFonts w:ascii="Times New Roman" w:hAnsi="Times New Roman" w:eastAsia="SimSun" w:cs="Mangal"/>
          <w:i/>
          <w:i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Территория Погарского городского поселения</w:t>
      </w: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расположена в центре Погарского района и имеет смежные границы: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- на севере и северо-западе – с Посудичским сельским поселением;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- на западе - с Гетуновским сельским поселением;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- на юге, северо-востоке и северо-западе - с Суворовским сельским поселением;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- на востоке – с Вадьковским сельским поселением.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Границы Погарского городского поселения установлены законом Брянской области от 09.03.2005 № 3-3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>
      <w:pPr>
        <w:pStyle w:val="Normal"/>
        <w:tabs>
          <w:tab w:val="left" w:pos="2760" w:leader="none"/>
        </w:tabs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Территория поселения вытянута с севера на юг на 5,2 км. С запада на восток на 4,4 км. Площадь территории поселения по обмеру топографических материалов составляет 1161 га.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В состав Погарского городского поселения входит один населенный пункт - районный центр Погарского района поселок городского типа Погар. </w:t>
      </w:r>
    </w:p>
    <w:p>
      <w:pPr>
        <w:pStyle w:val="Normal"/>
        <w:widowControl/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Пгт Погар расположен в 128 км к юго-западу от г. Брянска.</w:t>
      </w:r>
    </w:p>
    <w:p>
      <w:pPr>
        <w:pStyle w:val="Normal"/>
        <w:widowControl/>
        <w:spacing w:lineRule="auto" w:line="240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1.2 Демографическая ситуация</w:t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Динамика численности населения и его возрастная структура являются важнейшими социально-экономическими показателями.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По статистическим данным численность населения на 01.06.2019 г. составила  8380 чел., что соответствует 35 % от общей численности населения муниципального образования Погарский район.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Динамика изменения численности населения тесно связана с экономическими причинами, происходящими в стране, в последние годы в поселении наблюдается стабилизация численности населения.</w:t>
      </w:r>
    </w:p>
    <w:tbl>
      <w:tblPr>
        <w:tblW w:w="9354" w:type="dxa"/>
        <w:jc w:val="left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60"/>
        <w:gridCol w:w="1578"/>
        <w:gridCol w:w="1477"/>
        <w:gridCol w:w="1526"/>
        <w:gridCol w:w="1313"/>
      </w:tblGrid>
      <w:tr>
        <w:trPr>
          <w:trHeight w:val="962" w:hRule="atLeast"/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Численность населения, чел.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01.01.2016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01.01.2017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01.01.2018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01.06.2019</w:t>
            </w:r>
          </w:p>
        </w:tc>
      </w:tr>
      <w:tr>
        <w:trPr>
          <w:trHeight w:val="255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Погарское городское поселение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8513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8483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8400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8380</w:t>
            </w:r>
          </w:p>
        </w:tc>
      </w:tr>
    </w:tbl>
    <w:p>
      <w:pPr>
        <w:pStyle w:val="BodyTextIndent2"/>
        <w:spacing w:lineRule="auto" w:line="240"/>
        <w:ind w:hanging="0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В последние годы показатели рождаемости и смертности в муниципальном образовании менее благоприятны, чем в среднем по району. В настоящее время в поселении уровень рождаемости ниже уровня смертности, в результате уровень естественного прироста отрицательный.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>
      <w:pPr>
        <w:pStyle w:val="Normal"/>
        <w:widowControl/>
        <w:spacing w:lineRule="auto" w:line="240"/>
        <w:ind w:left="1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/>
        <w:ind w:left="1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 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1.3. Трудовые ресурсы</w:t>
      </w:r>
    </w:p>
    <w:p>
      <w:pPr>
        <w:pStyle w:val="Normal"/>
        <w:widowControl/>
        <w:spacing w:lineRule="auto" w:line="240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За последние годы значительно сократилась доля детей и подростков. Доля лиц старше трудоспособного возраста постоянно увеличивается.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Возрастная структура населения характеризуется неравномерным распределением населения младше и старше трудоспособного возраста.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b/>
          <w:b/>
          <w:i/>
          <w:i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964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05"/>
        <w:gridCol w:w="3576"/>
        <w:gridCol w:w="967"/>
        <w:gridCol w:w="1128"/>
        <w:gridCol w:w="1078"/>
        <w:gridCol w:w="913"/>
        <w:gridCol w:w="1473"/>
      </w:tblGrid>
      <w:tr>
        <w:trPr>
          <w:trHeight w:val="111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42" w:right="-123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№</w:t>
            </w:r>
          </w:p>
          <w:p>
            <w:pPr>
              <w:pStyle w:val="Normal"/>
              <w:spacing w:lineRule="auto" w:line="240"/>
              <w:ind w:left="-142" w:right="-123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п/п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8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28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28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28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2017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28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28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 01.01.2019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42" w:right="-123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87" w:hanging="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Население моложе трудоспособного возраста,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16,2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16,0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15,8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15,9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14,5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42" w:right="-123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87" w:hanging="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Население в трудоспособном возрасте,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58,4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58,2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58,2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58,3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53,5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42" w:right="-123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87" w:hanging="0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Население старше трудоспособного возраста,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25,8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26,0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25,8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32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возраста, и это не будет компенсироваться за счёт вступления населения младшей возрастной группы в трудоспособный возраст. </w:t>
      </w:r>
    </w:p>
    <w:p>
      <w:pPr>
        <w:pStyle w:val="Normal"/>
        <w:widowControl/>
        <w:spacing w:lineRule="auto" w:line="240"/>
        <w:jc w:val="right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</w:r>
    </w:p>
    <w:p>
      <w:pPr>
        <w:pStyle w:val="Normal"/>
        <w:widowControl/>
        <w:numPr>
          <w:ilvl w:val="1"/>
          <w:numId w:val="2"/>
        </w:numPr>
        <w:spacing w:lineRule="auto" w:line="240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1.4 Жилищно-коммунальное хозяйство</w:t>
      </w:r>
    </w:p>
    <w:p>
      <w:pPr>
        <w:pStyle w:val="Normal"/>
        <w:widowControl/>
        <w:numPr>
          <w:ilvl w:val="1"/>
          <w:numId w:val="2"/>
        </w:numPr>
        <w:spacing w:lineRule="auto" w:line="240"/>
        <w:jc w:val="center"/>
        <w:rPr>
          <w:rFonts w:ascii="Times New Roman" w:hAnsi="Times New Roman" w:eastAsia="SimSun" w:cs="Mangal"/>
          <w:b/>
          <w:b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tabs>
          <w:tab w:val="left" w:pos="808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Жилой фонд Погарского городского поселения составляет 285,0 тыс. м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vertAlign w:val="superscript"/>
          <w:lang w:val="ru-RU" w:eastAsia="zh-CN" w:bidi="hi-IN"/>
        </w:rPr>
        <w:t>2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firstLine="720"/>
        <w:contextualSpacing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Средняя жилобеспеченность – 34,0 м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vertAlign w:val="superscript"/>
          <w:lang w:val="ru-RU" w:eastAsia="zh-CN" w:bidi="hi-IN"/>
        </w:rPr>
        <w:t>2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/чел.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Уровень благоустройства Погарского городского поселения в целом характеризуется как средний. Из всех видов удобств, на сегодняшний день,  жилой фонд поселения оборудован электроснабжением, централизованным газоснабжением; централизованным водоснабжением, централизованным горячим водоснабжением и канализацией, теплоснабжением и ваннами (душем). </w:t>
      </w:r>
    </w:p>
    <w:p>
      <w:pPr>
        <w:pStyle w:val="Normal"/>
        <w:widowControl/>
        <w:spacing w:lineRule="auto" w:line="240"/>
        <w:ind w:firstLine="709"/>
        <w:jc w:val="both"/>
        <w:rPr/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Водоснабжение и водоотведение осуществляет МУП  «Погарский районный водоканал».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Источниками хозяйственно-питьевого водоснабжения пгт Погар являются подземные воды. В настоящее время водоснабжение поселка осуществляется из подземных источников,  артезианских скважин. 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Воды вскрываются 10 артезианскими скважинами, сгруппированными в несколько водозаборных узлов общей производительностью 5016 м3/сут. Все скважины находятся на балансе МУП «Погарский районный водоканал».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Водопроводная сеть поселка представлена чугунными, полиэтиленовыми и асбестоцементными трубами диаметрами 50 – 250 мм. Водопроводные сети тупиковые, местами закольцованы между собой. На сетях установлены пожарные гидранты (около 40 шт.). Общая протяженность водоводов и уличной водопроводной сети пгт Погар составляет 76,59 км. 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Из-за износа водопроводных сетей и сооружений имеют место случаи аварийных ситуаций.  Аварии на сетях приводят  к перебоям в подаче воды населению и вторичному загрязнению питьевой воды.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Для регулирования расхода воды в системе водоснабжения поселка имеются 2 водон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eastAsia="zh-CN" w:bidi="hi-IN"/>
        </w:rPr>
        <w:t xml:space="preserve">апорные башни и 4 резервуара, 2 из них расположены в д. Вадьковка, 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а так же</w:t>
      </w: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 1 насосная станция второго подьёма.</w:t>
      </w:r>
    </w:p>
    <w:p>
      <w:pPr>
        <w:pStyle w:val="11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Канализационные очистные сооружения, расположены в д. Вадьковка и  занимают территорию 10,8 га. Общая протяженность канализационной сети поселка составляет 18,5 км. В Погарском городском поселении действуют 5 </w:t>
      </w: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канализационных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насосных станций.</w:t>
      </w:r>
    </w:p>
    <w:p>
      <w:pPr>
        <w:pStyle w:val="11"/>
        <w:widowControl/>
        <w:spacing w:lineRule="auto" w:line="240"/>
        <w:ind w:firstLine="720"/>
        <w:jc w:val="both"/>
        <w:rPr>
          <w:rFonts w:ascii="Times New Roman" w:hAnsi="Times New Roman"/>
        </w:rPr>
      </w:pPr>
      <w:r>
        <w:rPr>
          <w:rFonts w:eastAsia="SimSun" w:cs="Mangal" w:ascii="Times New Roman" w:hAnsi="Times New Roman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На территории Погарского городского поселения отсутствует ливневая канализация, что приводит не только к загрязнению водоёмов и источников питьевой воды, но и к повышению уровня грунтовых вод, подтоплению территорий.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Теплоснабжение существующего жилищно-коммунального сектора и промышленности пгт Погар осуществляется от 18 централизованных и  автономных котельных. Основным поставщиком тепловой энергии в пгт Погар являются ООО «Брянсккоммунэнерго».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Газоснабжение поселка представлено природным и сжиженным газом. Обеспеченность жилого фонда природным газом составляет 98%. Основным источником газоснабжения городского поселения является ГРС Погар. Природный газ поставляется потребителям через ГРС по системе газопроводов-отводов от магистральных газопроводов. 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Электроснабжение потребителей Погарского городского поселения осуществляется от Брянской энергосистемы через районную подстанцию «Погарская» 110/35/10 кВ. На подстанции «Погарская» установлены три трансформатора мощностью по 16 тыс. кВА. В Погарском городском поселении количество ТП, ЗТП, КТП составляет 32 шт. Число фидеров – 7 шт. Общая протяженность линий электропередач - 222,2 км.</w:t>
      </w:r>
    </w:p>
    <w:p>
      <w:pPr>
        <w:pStyle w:val="Normal"/>
        <w:widowControl/>
        <w:shd w:val="clear" w:color="auto" w:fill="FFFFFF"/>
        <w:spacing w:lineRule="auto" w:line="240"/>
        <w:ind w:hanging="0"/>
        <w:jc w:val="center"/>
        <w:rPr/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1.5 Транспортная инфраструктура</w:t>
      </w:r>
    </w:p>
    <w:p>
      <w:pPr>
        <w:pStyle w:val="Normal"/>
        <w:widowControl/>
        <w:shd w:val="clear" w:color="auto" w:fill="FFFFFF"/>
        <w:spacing w:lineRule="auto" w:line="240"/>
        <w:ind w:firstLine="737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Транспортная инфраструктура Погарского городского поселения представлена автомобильным транспортом, – и принимает нагрузку в направлении внутриобластных и местных связей.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Каркас трансп</w:t>
      </w:r>
      <w:r>
        <w:rPr>
          <w:rFonts w:eastAsia="SimSun" w:cs="Mangal" w:ascii="Times New Roman" w:hAnsi="Times New Roman"/>
          <w:b w:val="false"/>
          <w:bCs w:val="false"/>
          <w:iCs/>
          <w:color w:val="auto"/>
          <w:kern w:val="2"/>
          <w:sz w:val="28"/>
          <w:szCs w:val="28"/>
          <w:lang w:val="ru-RU" w:eastAsia="zh-CN" w:bidi="hi-IN"/>
        </w:rPr>
        <w:t xml:space="preserve">ортной автомобильной сети </w:t>
      </w: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поселения состоит из автомобильных дорог общего пользования регионального значения «Трубчевск - Погар», «Погар - Курово – Белевица», «Погар - Гремяч», «Погар - Стародуб», «Погар - Новые Ивайтенки», автомобильных дорог местного значения, а также улично-дорожной сети поселка.</w:t>
      </w:r>
    </w:p>
    <w:p>
      <w:pPr>
        <w:pStyle w:val="11"/>
        <w:widowControl/>
        <w:spacing w:lineRule="auto" w:line="240" w:before="0" w:after="0"/>
        <w:ind w:firstLine="709"/>
        <w:contextualSpacing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Улично-дорожный каркас Погарского городского поселения составляют 76 улиц, 27 переулков и одна площадь - Советская.</w:t>
      </w:r>
    </w:p>
    <w:p>
      <w:pPr>
        <w:pStyle w:val="Normal"/>
        <w:widowControl/>
        <w:spacing w:lineRule="auto" w:line="24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Внутреннего автобусного сообщения в Погарском городском поселении нет. Автобусное сообщение на территории Погарского городского поселения представлено 21 пригородным и 7-ю междугородними маршрутами. Обслуживание пригородных маршрутов осуществляет ОАО Погарское АТП.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1.6. Социальная сфера (культура, образование, здравоохранение)</w:t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1.6.1 Культура</w:t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b/>
          <w:b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На территории Погарского городского поселения действуют следующие учреждения культурно-досугового типа:</w:t>
      </w:r>
    </w:p>
    <w:p>
      <w:pPr>
        <w:pStyle w:val="6"/>
        <w:numPr>
          <w:ilvl w:val="0"/>
          <w:numId w:val="3"/>
        </w:numPr>
        <w:spacing w:lineRule="auto" w:line="240"/>
        <w:ind w:left="714" w:hanging="357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МБУК «Погарский Районный Дом Культуры»;</w:t>
      </w:r>
    </w:p>
    <w:p>
      <w:pPr>
        <w:pStyle w:val="6"/>
        <w:widowControl/>
        <w:numPr>
          <w:ilvl w:val="0"/>
          <w:numId w:val="3"/>
        </w:numPr>
        <w:tabs>
          <w:tab w:val="left" w:pos="9356" w:leader="none"/>
        </w:tabs>
        <w:spacing w:lineRule="auto" w:line="240"/>
        <w:ind w:left="714" w:hanging="357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МБУК Музей Погарского района «Радогощ»;</w:t>
      </w:r>
    </w:p>
    <w:p>
      <w:pPr>
        <w:pStyle w:val="6"/>
        <w:widowControl/>
        <w:numPr>
          <w:ilvl w:val="0"/>
          <w:numId w:val="3"/>
        </w:numPr>
        <w:tabs>
          <w:tab w:val="left" w:pos="9356" w:leader="none"/>
        </w:tabs>
        <w:spacing w:lineRule="auto" w:line="240"/>
        <w:ind w:left="714" w:hanging="357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Cs/>
          <w:iCs/>
          <w:color w:val="auto"/>
          <w:kern w:val="2"/>
          <w:sz w:val="28"/>
          <w:szCs w:val="28"/>
          <w:lang w:val="ru-RU" w:eastAsia="zh-CN" w:bidi="hi-IN"/>
        </w:rPr>
        <w:t>МБУК «Централизованная библиотечная система Погарского района» Погарская межпоселенческая районная библиотека;</w:t>
      </w:r>
    </w:p>
    <w:p>
      <w:pPr>
        <w:pStyle w:val="6"/>
        <w:widowControl/>
        <w:numPr>
          <w:ilvl w:val="0"/>
          <w:numId w:val="3"/>
        </w:numPr>
        <w:tabs>
          <w:tab w:val="left" w:pos="9356" w:leader="none"/>
        </w:tabs>
        <w:spacing w:lineRule="auto" w:line="240"/>
        <w:ind w:left="714" w:hanging="357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Cs/>
          <w:iCs/>
          <w:color w:val="auto"/>
          <w:kern w:val="2"/>
          <w:sz w:val="28"/>
          <w:szCs w:val="28"/>
          <w:lang w:val="ru-RU" w:eastAsia="zh-CN" w:bidi="hi-IN"/>
        </w:rPr>
        <w:t>Погарская детская библиотека - структурное подразделение МБУК «ЦБС Погарского района».</w:t>
      </w:r>
    </w:p>
    <w:p>
      <w:pPr>
        <w:pStyle w:val="6"/>
        <w:widowControl/>
        <w:numPr>
          <w:ilvl w:val="0"/>
          <w:numId w:val="0"/>
        </w:numPr>
        <w:tabs>
          <w:tab w:val="left" w:pos="9356" w:leader="none"/>
        </w:tabs>
        <w:spacing w:lineRule="auto" w:line="240"/>
        <w:ind w:left="1429" w:hanging="0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1.6.2 Образование</w:t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rFonts w:ascii="Times New Roman" w:hAnsi="Times New Roman" w:eastAsia="SimSun" w:cs="Mangal"/>
          <w:b/>
          <w:b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hd w:val="clear" w:color="auto" w:fill="FFFFFF"/>
        <w:spacing w:lineRule="auto" w:line="240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ab/>
        <w:t xml:space="preserve">Система образования на территории Погарского городского поселения представлена четырьмя дошкольными образовательными учреждениями и двумя общеобразовательными учреждениями. </w:t>
      </w:r>
    </w:p>
    <w:p>
      <w:pPr>
        <w:pStyle w:val="Normal"/>
        <w:spacing w:lineRule="auto" w:line="240"/>
        <w:ind w:firstLine="567"/>
        <w:jc w:val="right"/>
        <w:rPr>
          <w:i/>
          <w:i/>
        </w:rPr>
      </w:pPr>
      <w:r>
        <w:rPr>
          <w:i/>
        </w:rPr>
      </w:r>
    </w:p>
    <w:p>
      <w:pPr>
        <w:pStyle w:val="Style21"/>
        <w:widowControl/>
        <w:snapToGrid w:val="true"/>
        <w:spacing w:lineRule="auto" w:line="240"/>
        <w:ind w:hanging="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/>
          <w:iCs/>
          <w:color w:val="auto"/>
          <w:spacing w:val="0"/>
          <w:kern w:val="2"/>
          <w:sz w:val="28"/>
          <w:szCs w:val="28"/>
          <w:lang w:val="ru-RU" w:eastAsia="zh-CN" w:bidi="hi-IN"/>
        </w:rPr>
        <w:t>Дошкольные образовательные учреждения</w:t>
      </w:r>
    </w:p>
    <w:tbl>
      <w:tblPr>
        <w:tblW w:w="9805" w:type="dxa"/>
        <w:jc w:val="left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1"/>
        <w:gridCol w:w="2218"/>
        <w:gridCol w:w="2605"/>
        <w:gridCol w:w="1545"/>
        <w:gridCol w:w="1239"/>
        <w:gridCol w:w="3"/>
        <w:gridCol w:w="1523"/>
      </w:tblGrid>
      <w:tr>
        <w:trPr/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№№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 учреждения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Местоположение, зона обслуживания (наименование населенных пунктов)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Емкость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Состояние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здания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(% износа)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 современным санитарным нормам (мест)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фактически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число детей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МБДОУ детский сад  комбинированного вида №1 пгт Погар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 Брянская обл., пгт. Погар, ул. Октябрьская, д. 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134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96,13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МБДОУ детский сад № 3 пгт Погар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 Брянская обл., пгт. Погар, ул. Жданова, д. 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142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156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40,63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МБДОУ детский сад комбинированного вида № 4 пгт Погар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 Брянская обл., пгт. Погар, ул. 2 квартал, д. 13А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158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156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18,38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МБДОУ детский сад № 5 пгт Погар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 Брянская обл., пгт. Погар, ул. 2 квартал, д. 7Б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167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31,18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eastAsia="SimSun" w:cs="Mangal"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i/>
          <w:i/>
        </w:rPr>
      </w:pPr>
      <w:r>
        <w:rPr>
          <w:i/>
        </w:rPr>
      </w:r>
    </w:p>
    <w:p>
      <w:pPr>
        <w:pStyle w:val="Style21"/>
        <w:widowControl/>
        <w:snapToGrid w:val="true"/>
        <w:spacing w:lineRule="auto" w:line="240" w:before="0" w:after="0"/>
        <w:ind w:hanging="0"/>
        <w:contextualSpacing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/>
          <w:iCs/>
          <w:color w:val="auto"/>
          <w:spacing w:val="0"/>
          <w:kern w:val="2"/>
          <w:sz w:val="28"/>
          <w:szCs w:val="28"/>
          <w:lang w:val="ru-RU" w:eastAsia="zh-CN" w:bidi="hi-IN"/>
        </w:rPr>
        <w:t>Средние общеобразовательные учреждения</w:t>
      </w:r>
    </w:p>
    <w:tbl>
      <w:tblPr>
        <w:tblW w:w="9764" w:type="dxa"/>
        <w:jc w:val="lef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20"/>
        <w:gridCol w:w="2557"/>
        <w:gridCol w:w="1528"/>
        <w:gridCol w:w="1322"/>
        <w:gridCol w:w="1048"/>
        <w:gridCol w:w="1489"/>
        <w:gridCol w:w="1199"/>
      </w:tblGrid>
      <w:tr>
        <w:trPr/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№№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 школы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Местополо-жение (адрес)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Емкость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Состоя-ние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здания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(% износа)</w:t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 современным санитарным нормам (мест)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Факт. число учащихся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чел.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в т.ч. обучаю-щихся во 2-ю смену</w:t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Муниципальное бюджетное общеобразова-тельное учреждение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Погарская средняя общеобразовательная школа №1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243550, Брянская область, Погарский район, пгт Погар, ул. Гагарина, д. 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701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56,74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Муниципальное бюджетное общеобразова-тельное учреждение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Погарская средняя общеобразовательная школа №2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243550, Брянская область, пгт Погар, ул. Чехова, д.9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428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592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178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62,19</w:t>
            </w:r>
          </w:p>
        </w:tc>
      </w:tr>
    </w:tbl>
    <w:p>
      <w:pPr>
        <w:pStyle w:val="Normal"/>
        <w:widowControl/>
        <w:tabs>
          <w:tab w:val="left" w:pos="9356" w:leader="none"/>
        </w:tabs>
        <w:spacing w:lineRule="auto" w:line="240"/>
        <w:ind w:hanging="0"/>
        <w:jc w:val="center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tabs>
          <w:tab w:val="left" w:pos="9356" w:leader="none"/>
        </w:tabs>
        <w:spacing w:lineRule="auto" w:line="240"/>
        <w:ind w:hanging="0"/>
        <w:jc w:val="center"/>
        <w:rPr/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1.6.3 Здравоохранение</w:t>
      </w:r>
    </w:p>
    <w:p>
      <w:pPr>
        <w:pStyle w:val="Normal"/>
        <w:widowControl/>
        <w:tabs>
          <w:tab w:val="left" w:pos="9356" w:leader="none"/>
        </w:tabs>
        <w:spacing w:lineRule="auto" w:line="240"/>
        <w:ind w:firstLine="720"/>
        <w:jc w:val="center"/>
        <w:rPr>
          <w:spacing w:val="2"/>
        </w:rPr>
      </w:pPr>
      <w:r>
        <w:rPr>
          <w:spacing w:val="2"/>
        </w:rPr>
      </w:r>
    </w:p>
    <w:p>
      <w:pPr>
        <w:pStyle w:val="Normal"/>
        <w:snapToGrid w:val="false"/>
        <w:spacing w:lineRule="auto" w:line="24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Система здравоохранения Погарского городского поселения представлена ГБУЗ «Погарская ЦРБ». </w:t>
      </w:r>
    </w:p>
    <w:p>
      <w:pPr>
        <w:pStyle w:val="Normal"/>
        <w:spacing w:lineRule="auto" w:line="240"/>
        <w:ind w:hanging="0"/>
        <w:jc w:val="right"/>
        <w:rPr>
          <w:b/>
          <w:b/>
          <w:i/>
          <w:i/>
        </w:rPr>
      </w:pPr>
      <w:r>
        <w:rPr>
          <w:b/>
          <w:i/>
        </w:rPr>
      </w:r>
    </w:p>
    <w:tbl>
      <w:tblPr>
        <w:tblW w:w="99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89"/>
        <w:gridCol w:w="2036"/>
        <w:gridCol w:w="1266"/>
        <w:gridCol w:w="1364"/>
        <w:gridCol w:w="1183"/>
        <w:gridCol w:w="1"/>
        <w:gridCol w:w="1285"/>
        <w:gridCol w:w="1122"/>
      </w:tblGrid>
      <w:tr>
        <w:trPr/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 больниц, врачебных амбулаторий, ФАПов, домов для престарелых и пр.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Местоположение, зона обслуживания (наименование населенных пунктов)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Емкость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Число врачей/среднего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медицинского персонала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Состояние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здания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(% износа)</w:t>
            </w:r>
          </w:p>
        </w:tc>
      </w:tr>
      <w:tr>
        <w:trPr/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ед.изм. (койко-место, посещений в смену)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 проекту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фактически</w:t>
            </w:r>
          </w:p>
        </w:tc>
        <w:tc>
          <w:tcPr>
            <w:tcW w:w="12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ГБУЗ</w:t>
            </w:r>
          </w:p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«Погарская</w:t>
            </w:r>
          </w:p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ЦРБ»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 г т.Погар,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ул.Октябрьская, д. №41 «Ц»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130/650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270/650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130/722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60\ 217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83,07</w:t>
            </w:r>
          </w:p>
        </w:tc>
      </w:tr>
    </w:tbl>
    <w:p>
      <w:pPr>
        <w:pStyle w:val="NormalWeb"/>
        <w:widowControl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b/>
          <w:b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iCs/>
          <w:color w:val="auto"/>
          <w:kern w:val="2"/>
          <w:sz w:val="28"/>
          <w:szCs w:val="28"/>
          <w:lang w:val="ru-RU" w:eastAsia="zh-CN" w:bidi="hi-IN"/>
        </w:rPr>
        <w:t>1.6.4 Спорт</w:t>
      </w:r>
    </w:p>
    <w:p>
      <w:pPr>
        <w:pStyle w:val="NormalWeb"/>
        <w:widowControl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b/>
          <w:b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iCs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99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89"/>
        <w:gridCol w:w="2036"/>
        <w:gridCol w:w="1266"/>
        <w:gridCol w:w="1364"/>
        <w:gridCol w:w="1179"/>
        <w:gridCol w:w="3"/>
        <w:gridCol w:w="1283"/>
        <w:gridCol w:w="2"/>
        <w:gridCol w:w="1124"/>
      </w:tblGrid>
      <w:tr>
        <w:trPr/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Наименование больниц, врачебных амбулаторий, ФАПов, домов для престарелых и пр.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Местоположение, зона обслуживания (наименование населенных пунктов)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Емкость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Число врачей/среднего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медицинского персонала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Состояние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здания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(% износа)</w:t>
            </w:r>
          </w:p>
        </w:tc>
      </w:tr>
      <w:tr>
        <w:trPr/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ед.изм. (койко-место, посещений в смену)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по проекту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фактически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«Стадион»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 г т.Погар,</w:t>
            </w:r>
          </w:p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ул.Октябрьская, д. №</w:t>
            </w:r>
          </w:p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SimSun" w:cs="Mangal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130/650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270/650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130/722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60\ 217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83,07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Басейн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Пгт Погар ул. 2-й Квартал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Дом спорта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Пгт Погар пл Советская д.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widowControl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b/>
          <w:b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highlight w:val="yellow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1.7 Торговля, услуги, общественное питание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 w:eastAsia="SimSun" w:cs="Mangal"/>
          <w:b/>
          <w:b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>
      <w:pPr>
        <w:pStyle w:val="NormalWeb"/>
        <w:widowControl/>
        <w:spacing w:lineRule="auto" w:line="240" w:beforeAutospacing="0" w:before="0" w:afterAutospacing="0" w:after="0"/>
        <w:ind w:firstLine="709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Потребительский рынок Погарского городского поселения представлен всеми необходимыми видами объектов. На территории Погарского городского поселения функционирует 26 магазинов потребкооперации;        58 магазинов и торговых павильонов индивидуальных предпринимателей;    19 магазинов другой формы собственности; 15 предприятий общественного питания.</w:t>
      </w:r>
    </w:p>
    <w:p>
      <w:pPr>
        <w:pStyle w:val="Normal"/>
        <w:widowControl/>
        <w:spacing w:lineRule="auto" w:line="24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highlight w:val="yellow"/>
          <w:lang w:eastAsia="en-US"/>
        </w:rPr>
        <w:t xml:space="preserve">  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>1.8 Сельское хозяйство</w:t>
      </w:r>
    </w:p>
    <w:p>
      <w:pPr>
        <w:pStyle w:val="Normal"/>
        <w:widowControl/>
        <w:spacing w:lineRule="auto" w:line="240"/>
        <w:ind w:firstLine="720"/>
        <w:rPr>
          <w:rFonts w:ascii="Times New Roman" w:hAnsi="Times New Roman" w:eastAsia="SimSun" w:cs="Mangal"/>
          <w:b/>
          <w:b/>
          <w:i/>
          <w:i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i/>
          <w:i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/>
        <w:tabs>
          <w:tab w:val="left" w:pos="284" w:leader="none"/>
        </w:tabs>
        <w:spacing w:lineRule="auto" w:line="240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Cs/>
          <w:color w:val="auto"/>
          <w:kern w:val="2"/>
          <w:sz w:val="28"/>
          <w:szCs w:val="28"/>
          <w:lang w:val="ru-RU" w:eastAsia="zh-CN" w:bidi="hi-IN"/>
        </w:rPr>
        <w:tab/>
        <w:tab/>
        <w:t xml:space="preserve">Одной из важнейших целей развития Погарского городского поселения является создание эффективного, конкурентоспособного, сельскохозяйственного производства, способного обеспечить повышение качества жизни жителей поселения. </w:t>
      </w:r>
    </w:p>
    <w:p>
      <w:pPr>
        <w:pStyle w:val="Normal"/>
        <w:widowControl/>
        <w:tabs>
          <w:tab w:val="left" w:pos="284" w:leader="none"/>
        </w:tabs>
        <w:spacing w:lineRule="auto" w:line="240"/>
        <w:jc w:val="both"/>
        <w:rPr>
          <w:rFonts w:ascii="Times New Roman" w:hAnsi="Times New Roman" w:eastAsia="SimSun" w:cs="Mangal"/>
          <w:i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Cs/>
          <w:color w:val="auto"/>
          <w:kern w:val="2"/>
          <w:sz w:val="28"/>
          <w:szCs w:val="28"/>
          <w:lang w:val="ru-RU" w:eastAsia="zh-CN" w:bidi="hi-IN"/>
        </w:rPr>
        <w:tab/>
        <w:tab/>
        <w:t xml:space="preserve">По состоянию на 1 января  2020 года общая земельная площадь Погарского городского поселения составила 1161 га, </w:t>
      </w:r>
    </w:p>
    <w:p>
      <w:pPr>
        <w:pStyle w:val="Normal"/>
        <w:spacing w:lineRule="auto" w:line="240" w:before="0" w:after="60"/>
        <w:ind w:firstLine="720"/>
        <w:jc w:val="both"/>
        <w:rPr/>
      </w:pPr>
      <w:r>
        <w:rPr>
          <w:rFonts w:eastAsia="SimSun" w:cs="Mangal" w:ascii="Times New Roman" w:hAnsi="Times New Roman"/>
          <w:iCs/>
          <w:color w:val="auto"/>
          <w:kern w:val="2"/>
          <w:sz w:val="28"/>
          <w:szCs w:val="28"/>
          <w:lang w:val="ru-RU" w:eastAsia="zh-CN" w:bidi="hi-IN"/>
        </w:rPr>
        <w:t xml:space="preserve">в том числе: сельхозугодья – 646 га,  из них: пашня  - 431 га; сенокосы – 83 га; пастбища – 98 га; </w:t>
      </w:r>
      <w:r>
        <w:rPr>
          <w:rFonts w:eastAsia="SimSun" w:cs="Mangal" w:ascii="Times New Roman" w:hAnsi="Times New Roman"/>
          <w:b w:val="false"/>
          <w:iCs/>
          <w:color w:val="auto"/>
          <w:kern w:val="2"/>
          <w:sz w:val="28"/>
          <w:szCs w:val="28"/>
          <w:lang w:val="ru-RU" w:eastAsia="zh-CN" w:bidi="hi-IN"/>
        </w:rPr>
        <w:t xml:space="preserve"> многолетние насаждения – 34 га.</w:t>
      </w:r>
    </w:p>
    <w:p>
      <w:pPr>
        <w:pStyle w:val="Normal"/>
        <w:widowControl/>
        <w:spacing w:lineRule="auto" w:line="240"/>
        <w:ind w:hanging="0"/>
        <w:jc w:val="center"/>
        <w:rPr/>
      </w:pPr>
      <w:r>
        <w:rPr>
          <w:rFonts w:eastAsia="Calibri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pacing w:lineRule="auto" w:line="240"/>
        <w:ind w:hanging="0"/>
        <w:jc w:val="center"/>
        <w:rPr/>
      </w:pPr>
      <w:r>
        <w:rPr>
          <w:rFonts w:eastAsia="Calibri" w:ascii="Times New Roman" w:hAnsi="Times New Roman"/>
          <w:sz w:val="28"/>
          <w:szCs w:val="28"/>
          <w:lang w:val="ru-RU"/>
        </w:rPr>
        <w:t>1.</w:t>
      </w:r>
      <w:r>
        <w:rPr>
          <w:rFonts w:eastAsia="Calibri" w:ascii="Times New Roman" w:hAnsi="Times New Roman"/>
          <w:sz w:val="28"/>
          <w:szCs w:val="28"/>
          <w:lang w:val="en-US"/>
        </w:rPr>
        <w:t xml:space="preserve">9 </w:t>
      </w:r>
      <w:r>
        <w:rPr>
          <w:rFonts w:eastAsia="Calibri" w:ascii="Times New Roman" w:hAnsi="Times New Roman"/>
          <w:sz w:val="28"/>
          <w:szCs w:val="28"/>
          <w:lang w:val="ru-RU"/>
        </w:rPr>
        <w:t>Промышленность</w:t>
      </w:r>
    </w:p>
    <w:p>
      <w:pPr>
        <w:pStyle w:val="Normal"/>
        <w:widowControl/>
        <w:spacing w:lineRule="auto" w:line="240" w:before="0" w:after="0"/>
        <w:ind w:firstLine="660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</w:t>
      </w:r>
      <w:r>
        <w:rPr>
          <w:rFonts w:ascii="Times New Roman" w:hAnsi="Times New Roman"/>
          <w:sz w:val="28"/>
          <w:szCs w:val="28"/>
          <w:lang w:val="ru-RU"/>
        </w:rPr>
        <w:t>Погарского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представлена разнообразием выпускаемой продукции.</w:t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«Погарская сигаретно-сигарная фабрика» - табачная компания с более чем столетней историей, нацелена на производство самого широкого спектра табачных изделий, которые позволяют удовлетворить любые, даже самые взыскательные вкусы потребителей продукции. На фабрике трудится  266 человек. </w:t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Пищевая промышленность представлена: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lineRule="auto" w:line="240" w:beforeAutospacing="0" w:before="0" w:afterAutospacing="0" w:after="0"/>
        <w:ind w:left="0" w:firstLine="709"/>
        <w:jc w:val="both"/>
        <w:rPr>
          <w:highlight w:val="yellow"/>
        </w:rPr>
      </w:pPr>
      <w:r>
        <w:rPr>
          <w:rFonts w:eastAsia="Calibri" w:ascii="Times New Roman" w:hAnsi="Times New Roman"/>
          <w:sz w:val="28"/>
          <w:szCs w:val="28"/>
        </w:rPr>
        <w:t xml:space="preserve">ООО «Молоко». </w:t>
      </w:r>
      <w:r>
        <w:rPr>
          <w:rFonts w:ascii="Times New Roman" w:hAnsi="Times New Roman"/>
          <w:sz w:val="28"/>
          <w:szCs w:val="28"/>
        </w:rPr>
        <w:t xml:space="preserve">Предприятие перерабатывает молоко, производит масло животное, молоко сухое (цельное) и другую цельномолочную продукцию. </w:t>
      </w:r>
      <w:r>
        <w:rPr>
          <w:rFonts w:eastAsia="Calibri" w:ascii="Times New Roman" w:hAnsi="Times New Roman"/>
          <w:sz w:val="28"/>
          <w:szCs w:val="28"/>
        </w:rPr>
        <w:t>Объем отгруженной продукции ООО «Молоко» за 2018 год значительно увеличился. На предприятии работает 170 человек.  Рост обусловлен модернизацией производства, связанной с внедрением современного оборудования, а также вложением собственных инвестиций.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lineRule="auto" w:line="240" w:beforeAutospacing="0" w:before="0" w:afterAutospacing="0" w:after="0"/>
        <w:ind w:left="0" w:firstLine="709"/>
        <w:jc w:val="both"/>
        <w:rPr>
          <w:highlight w:val="yellow"/>
        </w:rPr>
      </w:pPr>
      <w:r>
        <w:rPr>
          <w:rFonts w:eastAsia="Calibri" w:ascii="Times New Roman" w:hAnsi="Times New Roman"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АО «Погарская картофельная фабрика» - численность работающих – 130 человек. Готовая продукция поставляется в 10 стран мира. Доля экспортных операций от общего объема реализации составляет 40 %. Предприятие продолжает осуществлять работы по реконструкции, модернизации, строительству новых производств.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lineRule="auto" w:line="240" w:beforeAutospacing="0" w:before="0" w:afterAutospacing="0" w:after="0"/>
        <w:ind w:left="0"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ООО «Погархлебпром». В настоящий момент предприятие снабжает хлебом все население района, осуществляется поставка партий хлебобулочных изделий в другие районы. Производят такие виды продукции как колбасные изделия, широкий ряд кондитерских изделий, макаронные изделия, осуществляют производство рыбы. На предприятии трудятся 95 человек.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lineRule="auto" w:line="240" w:beforeAutospacing="0" w:before="0" w:afterAutospacing="0" w:after="0"/>
        <w:ind w:left="0"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ООО «Консервный завод «Агриппина» осуществляет деятельность по переработке картофеля, кабачков, яблок, капусты, огурцов, лука, томатов.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lineRule="auto" w:line="240" w:beforeAutospacing="0" w:before="0" w:afterAutospacing="0" w:after="0"/>
        <w:ind w:left="0" w:firstLine="709"/>
        <w:jc w:val="both"/>
        <w:rPr>
          <w:highlight w:val="yellow"/>
        </w:rPr>
      </w:pPr>
      <w:r>
        <w:rPr>
          <w:rFonts w:eastAsia="Calibri" w:ascii="Times New Roman" w:hAnsi="Times New Roman"/>
          <w:sz w:val="28"/>
          <w:szCs w:val="28"/>
        </w:rPr>
        <w:t>«Сезонное предприятие Погарский овощеперерабатывающий комбинат».</w:t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 территории Погарского района действует еще одно современное производство - ООО «Технопарк-Девелопмент» по изготовлению спецобуви и ООО «Авангард-Технология» - производство спецодежды. Предприятия выходят на проектную мощность. На конец 2018 года на них создано 163 новых рабочих места. На ООО «Технопарк-Девелопмент» трудятся 155 человек и на ООО «Авангард-Технология» - 71 соответственно. </w:t>
      </w:r>
    </w:p>
    <w:p>
      <w:pPr>
        <w:pStyle w:val="NormalWeb"/>
        <w:spacing w:lineRule="auto" w:line="240" w:beforeAutospacing="0" w:before="0" w:afterAutospacing="0"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Тротуарной плиткой широкого ассортимента жителей обеспечивает ООО «Ретро».</w:t>
      </w:r>
    </w:p>
    <w:p>
      <w:pPr>
        <w:pStyle w:val="NormalWeb"/>
        <w:widowControl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Ремонтом и строительством дорог занимается ООО «Погарагродорстрой». Среднесписочная численность работающих - 91 человек.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Одним из </w:t>
      </w:r>
      <w:r>
        <w:rPr>
          <w:rFonts w:ascii="Times New Roman" w:hAnsi="Times New Roman"/>
          <w:sz w:val="28"/>
          <w:szCs w:val="28"/>
        </w:rPr>
        <w:t xml:space="preserve"> стратегически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развития поселения должны стать следующие действия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комплексного развития социальной инфраструктуры Погарского городского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поселения Погарского района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Брянской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Развитие социальной инфраструктуры, образования, здравоохранения, культуры, физкультуры и спорта: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  <w:t>участие в отраслевых районных, областных программах по развитию и укреплению данных отраслей;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  <w:t xml:space="preserve"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 на территории поселения). 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2. Содействие в привлечении молодых специалистов в поселение (врачей, учителей, работников культуры, муниципальных служащих):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помощь членам их семей в устройстве на работу;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3.Содействие в обеспечении социальной поддержки слабо защищенным слоям населения: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  <w:t>консультирование, помощь в получении субсидий, пособий различных льготных выплат;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4.Содействие в развитие систем телефонной и сотовой связи, интернета.</w:t>
      </w:r>
    </w:p>
    <w:p>
      <w:pPr>
        <w:pStyle w:val="Normal"/>
        <w:widowControl/>
        <w:spacing w:lineRule="auto" w:line="240"/>
        <w:ind w:left="9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>5.Привлечение средств на строительство и ремонт дорог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местного значения и др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widowControl/>
        <w:spacing w:lineRule="auto" w:line="240"/>
        <w:ind w:firstLine="68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"/>
        <w:keepNext w:val="false"/>
        <w:keepLines w:val="false"/>
        <w:widowControl w:val="false"/>
        <w:numPr>
          <w:ilvl w:val="0"/>
          <w:numId w:val="0"/>
        </w:numPr>
        <w:suppressAutoHyphens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1"/>
        <w:widowControl w:val="false"/>
        <w:numPr>
          <w:ilvl w:val="0"/>
          <w:numId w:val="0"/>
        </w:numPr>
        <w:suppressAutoHyphens w:val="fals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eastAsia="SimSun" w:cs="Mangal" w:ascii="Times New Roman" w:hAnsi="Times New Roman"/>
          <w:b/>
          <w:caps w:val="false"/>
          <w:smallCaps w:val="false"/>
          <w:color w:val="auto"/>
          <w:kern w:val="2"/>
          <w:sz w:val="28"/>
          <w:szCs w:val="28"/>
          <w:lang w:val="en-US" w:eastAsia="zh-CN" w:bidi="hi-IN"/>
        </w:rPr>
        <w:t>Ц</w:t>
      </w:r>
      <w:r>
        <w:rPr>
          <w:rFonts w:eastAsia="SimSun" w:cs="Mangal" w:ascii="Times New Roman" w:hAnsi="Times New Roman"/>
          <w:b/>
          <w:caps w:val="false"/>
          <w:smallCaps w:val="false"/>
          <w:color w:val="auto"/>
          <w:kern w:val="2"/>
          <w:sz w:val="28"/>
          <w:szCs w:val="28"/>
          <w:lang w:val="ru-RU" w:eastAsia="zh-CN" w:bidi="hi-IN"/>
        </w:rPr>
        <w:t>ели</w:t>
      </w:r>
      <w:r>
        <w:rPr>
          <w:rFonts w:eastAsia="SimSun" w:cs="Mangal" w:ascii="Times New Roman" w:hAnsi="Times New Roman"/>
          <w:b/>
          <w:caps w:val="false"/>
          <w:smallCaps w:val="false"/>
          <w:color w:val="auto"/>
          <w:kern w:val="2"/>
          <w:sz w:val="28"/>
          <w:szCs w:val="28"/>
          <w:lang w:val="en-US" w:eastAsia="zh-CN" w:bidi="hi-IN"/>
        </w:rPr>
        <w:t xml:space="preserve"> </w:t>
      </w:r>
      <w:r>
        <w:rPr>
          <w:rFonts w:eastAsia="SimSun" w:cs="Mangal" w:ascii="Times New Roman" w:hAnsi="Times New Roman"/>
          <w:b/>
          <w:caps w:val="false"/>
          <w:smallCaps w:val="false"/>
          <w:color w:val="auto"/>
          <w:kern w:val="2"/>
          <w:sz w:val="28"/>
          <w:szCs w:val="28"/>
          <w:lang w:val="ru-RU" w:eastAsia="zh-CN" w:bidi="hi-IN"/>
        </w:rPr>
        <w:t>и задачи для решения</w:t>
      </w:r>
    </w:p>
    <w:p>
      <w:pPr>
        <w:pStyle w:val="1"/>
        <w:keepNext w:val="false"/>
        <w:keepLines w:val="false"/>
        <w:widowControl w:val="false"/>
        <w:numPr>
          <w:ilvl w:val="0"/>
          <w:numId w:val="0"/>
        </w:numPr>
        <w:suppressAutoHyphens w:val="false"/>
        <w:spacing w:lineRule="auto" w:line="240" w:before="0" w:after="0"/>
        <w:jc w:val="center"/>
        <w:rPr>
          <w:highlight w:val="yellow"/>
        </w:rPr>
      </w:pPr>
      <w:bookmarkStart w:id="0" w:name="_Toc70436654"/>
      <w:r>
        <w:rPr>
          <w:rFonts w:ascii="Times New Roman" w:hAnsi="Times New Roman"/>
          <w:caps w:val="false"/>
          <w:smallCaps w:val="false"/>
          <w:sz w:val="28"/>
          <w:szCs w:val="28"/>
        </w:rPr>
        <w:t>социально-экономических проблем</w:t>
      </w:r>
      <w:bookmarkEnd w:id="0"/>
      <w:r>
        <w:rPr>
          <w:rFonts w:ascii="Times New Roman" w:hAnsi="Times New Roman"/>
          <w:caps w:val="false"/>
          <w:smallCaps w:val="false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ind w:firstLine="708"/>
        <w:jc w:val="both"/>
        <w:rPr>
          <w:highlight w:val="yellow"/>
        </w:rPr>
      </w:pPr>
      <w:r>
        <w:rPr>
          <w:rFonts w:cs="Mangal" w:ascii="Times New Roman" w:hAnsi="Times New Roman"/>
          <w:color w:val="auto"/>
          <w:kern w:val="2"/>
          <w:sz w:val="28"/>
          <w:szCs w:val="28"/>
          <w:lang w:val="en-US" w:eastAsia="zh-CN" w:bidi="hi-IN"/>
        </w:rPr>
        <w:t>Стратегической целью программы является повышение качества жизни населения, проживающего на его территории, которое характеризуется не только его доходами (уровнем жизни), но и жилищными условиями, состоянием здоровья, уровнем образования, экологией, работой общественного транспорта, личной безопасностью и т.д.</w:t>
      </w:r>
    </w:p>
    <w:p>
      <w:pPr>
        <w:pStyle w:val="Normal"/>
        <w:widowControl w:val="false"/>
        <w:spacing w:lineRule="auto" w:line="240"/>
        <w:ind w:firstLine="708"/>
        <w:jc w:val="both"/>
        <w:rPr>
          <w:highlight w:val="yellow"/>
        </w:rPr>
      </w:pPr>
      <w:r>
        <w:rPr>
          <w:rFonts w:cs="Mangal" w:ascii="Times New Roman" w:hAnsi="Times New Roman"/>
          <w:color w:val="auto"/>
          <w:kern w:val="2"/>
          <w:sz w:val="28"/>
          <w:szCs w:val="28"/>
          <w:lang w:val="en-US" w:eastAsia="zh-CN" w:bidi="hi-IN"/>
        </w:rPr>
        <w:t xml:space="preserve">Основой стабильного повышения качества жизни населения может служить лишь эффективная экономика. Поэтому взаимосвязанной с первой целью программы является вторая – создание в </w:t>
      </w:r>
      <w:r>
        <w:rPr>
          <w:rFonts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Погарском городском </w:t>
      </w:r>
      <w:r>
        <w:rPr>
          <w:rFonts w:cs="Mangal" w:ascii="Times New Roman" w:hAnsi="Times New Roman"/>
          <w:color w:val="auto"/>
          <w:kern w:val="2"/>
          <w:sz w:val="28"/>
          <w:szCs w:val="28"/>
          <w:lang w:val="en-US" w:eastAsia="zh-CN" w:bidi="hi-IN"/>
        </w:rPr>
        <w:t>поселении условий для устойчивого экономического развития,</w:t>
      </w:r>
      <w:r>
        <w:rPr>
          <w:rFonts w:cs="Mangal" w:ascii="Times New Roman" w:hAnsi="Times New Roman"/>
          <w:b/>
          <w:color w:val="auto"/>
          <w:kern w:val="2"/>
          <w:sz w:val="28"/>
          <w:szCs w:val="28"/>
          <w:lang w:val="en-US" w:eastAsia="zh-CN" w:bidi="hi-IN"/>
        </w:rPr>
        <w:t xml:space="preserve"> </w:t>
      </w:r>
      <w:r>
        <w:rPr>
          <w:rFonts w:cs="Mangal" w:ascii="Times New Roman" w:hAnsi="Times New Roman"/>
          <w:color w:val="auto"/>
          <w:kern w:val="2"/>
          <w:sz w:val="28"/>
          <w:szCs w:val="28"/>
          <w:lang w:val="en-US" w:eastAsia="zh-CN" w:bidi="hi-IN"/>
        </w:rPr>
        <w:t>обеспечивающего максимально полное использование производственно-экономического потенциала.</w:t>
      </w:r>
    </w:p>
    <w:p>
      <w:pPr>
        <w:pStyle w:val="Normal"/>
        <w:widowControl w:val="false"/>
        <w:spacing w:lineRule="auto" w:line="240"/>
        <w:ind w:firstLine="708"/>
        <w:jc w:val="both"/>
        <w:rPr>
          <w:rFonts w:ascii="Times New Roman" w:hAnsi="Times New Roman"/>
          <w:b w:val="false"/>
          <w:b w:val="false"/>
          <w:bCs w:val="false"/>
          <w:highlight w:val="yellow"/>
        </w:rPr>
      </w:pPr>
      <w:r>
        <w:rPr>
          <w:rFonts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en-US" w:eastAsia="zh-CN" w:bidi="hi-IN"/>
        </w:rPr>
        <w:t>Важнейшими показателями реализации программы являются бездотационный бюджет, рост экономики и прежде всего ведущих отраслей хозяйства поселения, сокращение безработицы и повышение благосостояния населения.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left" w:pos="0" w:leader="none"/>
          <w:tab w:val="left" w:pos="993" w:leader="none"/>
        </w:tabs>
        <w:spacing w:lineRule="auto" w:line="240"/>
        <w:ind w:left="720" w:hanging="0"/>
        <w:jc w:val="center"/>
        <w:outlineLvl w:val="1"/>
        <w:rPr>
          <w:rFonts w:ascii="Times New Roman" w:hAnsi="Times New Roman" w:cs="Mangal"/>
          <w:color w:val="auto"/>
          <w:kern w:val="2"/>
          <w:sz w:val="28"/>
          <w:szCs w:val="28"/>
          <w:highlight w:val="yellow"/>
          <w:lang w:val="en-US" w:eastAsia="zh-CN" w:bidi="hi-IN"/>
        </w:rPr>
      </w:pPr>
      <w:r>
        <w:rPr>
          <w:rFonts w:cs="Mangal" w:ascii="Times New Roman" w:hAnsi="Times New Roman"/>
          <w:color w:val="auto"/>
          <w:kern w:val="2"/>
          <w:sz w:val="28"/>
          <w:szCs w:val="28"/>
          <w:highlight w:val="yellow"/>
          <w:lang w:val="en-US" w:eastAsia="zh-CN" w:bidi="hi-I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993" w:leader="none"/>
        </w:tabs>
        <w:spacing w:lineRule="auto" w:line="240"/>
        <w:ind w:left="720" w:hanging="0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993" w:leader="none"/>
        </w:tabs>
        <w:ind w:left="72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/>
        <w:jc w:val="both"/>
        <w:rPr/>
      </w:pPr>
      <w:r>
        <w:rPr>
          <w:rFonts w:ascii="Times New Roman" w:hAnsi="Times New Roman"/>
        </w:rPr>
        <w:tab/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программе </w:t>
      </w:r>
      <w:r>
        <w:rPr>
          <w:rFonts w:ascii="Times New Roman" w:hAnsi="Times New Roman"/>
          <w:sz w:val="24"/>
          <w:szCs w:val="24"/>
          <w:lang w:val="ru-RU"/>
        </w:rPr>
        <w:t xml:space="preserve">комплексного </w:t>
      </w:r>
      <w:r>
        <w:rPr>
          <w:rFonts w:ascii="Times New Roman" w:hAnsi="Times New Roman"/>
          <w:sz w:val="24"/>
          <w:szCs w:val="24"/>
        </w:rPr>
        <w:t>развития социальной инфраструктуры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Погарского городского поселения Погаркого района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Брянской области</w:t>
      </w:r>
      <w:r>
        <w:rPr>
          <w:rFonts w:ascii="Times New Roman" w:hAnsi="Times New Roman"/>
          <w:sz w:val="24"/>
          <w:szCs w:val="24"/>
        </w:rPr>
        <w:t xml:space="preserve">  на 2021-202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>
      <w:pPr>
        <w:pStyle w:val="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Перечень мероприятий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Погарского городского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поселения Погарского района Брянской области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tbl>
      <w:tblPr>
        <w:tblW w:w="1469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7"/>
        <w:gridCol w:w="5744"/>
        <w:gridCol w:w="8127"/>
      </w:tblGrid>
      <w:tr>
        <w:trPr/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Программы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</w:t>
            </w:r>
          </w:p>
        </w:tc>
      </w:tr>
      <w:tr>
        <w:trPr>
          <w:trHeight w:val="352" w:hRule="atLeast"/>
        </w:trPr>
        <w:tc>
          <w:tcPr>
            <w:tcW w:w="1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культуры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highlight w:val="yellow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>Капитальный ремонт здания Дома культуры по адресу: Брянская обл., Погарский р-он, пгт Погар, пл. Советская, д.1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bookmarkStart w:id="1" w:name="__DdeLink__1668_1414781600"/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культурный и качественный отдых жителей и гостей поселка, обеспечение дополнительных рабочих мест</w:t>
            </w:r>
            <w:bookmarkEnd w:id="1"/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9356" w:leader="none"/>
              </w:tabs>
              <w:overflowPunct w:val="true"/>
              <w:bidi w:val="0"/>
              <w:spacing w:lineRule="auto" w:line="240"/>
              <w:ind w:left="0" w:right="0" w:hanging="0"/>
              <w:jc w:val="left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>Капитальный ремонт здания МБУК Музей Погарского района «Радогощ»;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9356" w:leader="none"/>
              </w:tabs>
              <w:spacing w:lineRule="auto" w:line="240"/>
              <w:ind w:left="1786" w:hanging="0"/>
              <w:jc w:val="both"/>
              <w:rPr>
                <w:rFonts w:ascii="Times New Roman" w:hAnsi="Times New Roman" w:eastAsia="SimSun" w:cs="Mangal"/>
                <w:b w:val="false"/>
                <w:b w:val="false"/>
                <w:bCs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культурный и качественный отдых жителей и гостей поселка, обеспечение дополнительных рабочих мест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9356" w:leader="none"/>
              </w:tabs>
              <w:spacing w:lineRule="auto" w:line="240"/>
              <w:ind w:left="71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 xml:space="preserve">Капитальный ремонт здания </w:t>
            </w:r>
            <w:r>
              <w:rPr>
                <w:rFonts w:eastAsia="SimSun" w:cs="Mangal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>МБУК «Централизованная библиотечная система Погарского района» Погарская межпоселенческая районная библиотека;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культурный и качественный отдых жителей и гостей поселка, обеспечение дополнительных рабочих мест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9356" w:leader="none"/>
              </w:tabs>
              <w:spacing w:lineRule="auto" w:line="240"/>
              <w:ind w:left="71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 xml:space="preserve">Капитальный ремонт здания </w:t>
            </w:r>
            <w:r>
              <w:rPr>
                <w:rFonts w:eastAsia="SimSun" w:cs="Mangal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>Погарская детская библиотека - структурное подразделение МБУК «ЦБС Погарского района».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культурный и качественный отдых жителей и гостей поселка, обеспечение дополнительных рабочих мест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9356" w:leader="none"/>
              </w:tabs>
              <w:spacing w:lineRule="auto" w:line="240"/>
              <w:ind w:left="71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 xml:space="preserve">Капитальный ремонт здания </w:t>
            </w: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>МБУК Музей Погарского района «Рюрика»;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культурный и качественный отдых жителей и гостей поселка, обеспечение дополнительных рабочих мест</w:t>
            </w:r>
          </w:p>
        </w:tc>
      </w:tr>
      <w:tr>
        <w:trPr/>
        <w:tc>
          <w:tcPr>
            <w:tcW w:w="1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i/>
                <w:color w:val="auto"/>
                <w:kern w:val="2"/>
                <w:sz w:val="28"/>
                <w:szCs w:val="28"/>
                <w:lang w:val="en-US" w:eastAsia="zh-CN" w:bidi="hi-IN"/>
              </w:rPr>
              <w:t>Сфера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b/>
                <w:i/>
                <w:color w:val="auto"/>
                <w:kern w:val="2"/>
                <w:sz w:val="28"/>
                <w:szCs w:val="28"/>
                <w:lang w:val="en-US" w:eastAsia="zh-CN" w:bidi="hi-IN"/>
              </w:rPr>
              <w:t>образования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Муниципальное бюджетное общеобразова-тельное учреждение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>Погарская средняя общеобразовательная школа №1243550, Брянская область, Погарский район, пгт Погар, ул. Гагарина, д. 26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i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Муниципальное бюджетное общеобразова-тельное учреждение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>Погарская средняя общеобразовательная школа №2243550, Брянская область, пгт Погар, ул. Чехова, д.9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i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i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</w:tr>
      <w:tr>
        <w:trPr/>
        <w:tc>
          <w:tcPr>
            <w:tcW w:w="1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i/>
                <w:color w:val="auto"/>
                <w:kern w:val="2"/>
                <w:sz w:val="28"/>
                <w:szCs w:val="28"/>
                <w:lang w:val="en-US" w:eastAsia="zh-CN" w:bidi="hi-IN"/>
              </w:rPr>
              <w:t>Сфера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b/>
                <w:i/>
                <w:color w:val="auto"/>
                <w:kern w:val="2"/>
                <w:sz w:val="28"/>
                <w:szCs w:val="28"/>
                <w:lang w:val="en-US" w:eastAsia="zh-CN" w:bidi="hi-IN"/>
              </w:rPr>
              <w:t>спорта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Стадион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развитие физкультуры и спорта, улучшение здоровья и отдыха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Дом спорта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Позволит улучшить развитие физкультуры и спорта, улучшение здоровья и отдыха</w:t>
            </w:r>
          </w:p>
        </w:tc>
      </w:tr>
      <w:tr>
        <w:trPr/>
        <w:tc>
          <w:tcPr>
            <w:tcW w:w="1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/>
                <w:i/>
                <w:color w:val="auto"/>
                <w:kern w:val="2"/>
                <w:sz w:val="28"/>
                <w:szCs w:val="28"/>
                <w:lang w:val="en-US" w:eastAsia="zh-CN" w:bidi="hi-IN"/>
              </w:rPr>
              <w:t>сфера здравоохранения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en-US" w:eastAsia="zh-CN" w:bidi="hi-IN"/>
              </w:rPr>
              <w:t xml:space="preserve">Капитальный ремонт </w:t>
            </w: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ГБУЗ «Погарская центральная районная больница» ПОЛИКЛИНИКА: пгт Погар,  ул. Октябрьская, 41Ц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позволит обеспечить качественное и своевременное оказание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медицинской помощи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программе </w:t>
      </w:r>
      <w:r>
        <w:rPr>
          <w:rFonts w:ascii="Times New Roman" w:hAnsi="Times New Roman"/>
          <w:sz w:val="24"/>
          <w:szCs w:val="24"/>
          <w:lang w:val="ru-RU"/>
        </w:rPr>
        <w:t xml:space="preserve">комплексного </w:t>
      </w:r>
      <w:r>
        <w:rPr>
          <w:rFonts w:ascii="Times New Roman" w:hAnsi="Times New Roman"/>
          <w:sz w:val="24"/>
          <w:szCs w:val="24"/>
        </w:rPr>
        <w:t>развития социальной инфраструктуры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Погарского городского поселения Погаркого района</w:t>
      </w:r>
    </w:p>
    <w:p>
      <w:pPr>
        <w:pStyle w:val="Normal"/>
        <w:widowControl/>
        <w:tabs>
          <w:tab w:val="left" w:pos="1278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Брянской области</w:t>
      </w:r>
      <w:r>
        <w:rPr>
          <w:rFonts w:ascii="Times New Roman" w:hAnsi="Times New Roman"/>
          <w:bCs/>
          <w:sz w:val="24"/>
          <w:szCs w:val="24"/>
        </w:rPr>
        <w:t xml:space="preserve">  на 2021-202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годы</w:t>
      </w:r>
    </w:p>
    <w:p>
      <w:pPr>
        <w:pStyle w:val="Normal"/>
        <w:widowControl/>
        <w:jc w:val="center"/>
        <w:rPr>
          <w:bCs/>
        </w:rPr>
      </w:pPr>
      <w:r>
        <w:rPr>
          <w:bCs/>
        </w:rPr>
      </w:r>
    </w:p>
    <w:p>
      <w:pPr>
        <w:pStyle w:val="Normal"/>
        <w:widowControl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ПЕРЕЧЕНЬ</w:t>
      </w:r>
    </w:p>
    <w:p>
      <w:pPr>
        <w:pStyle w:val="Normal"/>
        <w:widowControl/>
        <w:tabs>
          <w:tab w:val="left" w:pos="12780" w:leader="none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мероприятий программы </w:t>
      </w:r>
      <w:r>
        <w:rPr>
          <w:rFonts w:ascii="Times New Roman" w:hAnsi="Times New Roman"/>
          <w:sz w:val="27"/>
          <w:szCs w:val="27"/>
          <w:lang w:val="ru-RU"/>
        </w:rPr>
        <w:t xml:space="preserve">комплексного развития </w:t>
      </w:r>
      <w:r>
        <w:rPr>
          <w:rFonts w:ascii="Times New Roman" w:hAnsi="Times New Roman"/>
          <w:sz w:val="27"/>
          <w:szCs w:val="27"/>
        </w:rPr>
        <w:t>социальной инфраструктуры</w:t>
      </w:r>
    </w:p>
    <w:p>
      <w:pPr>
        <w:pStyle w:val="Normal"/>
        <w:widowControl/>
        <w:tabs>
          <w:tab w:val="left" w:pos="12780" w:leader="none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7"/>
          <w:szCs w:val="27"/>
          <w:lang w:val="ru-RU"/>
        </w:rPr>
        <w:t xml:space="preserve">Погарского городского </w:t>
      </w:r>
      <w:r>
        <w:rPr>
          <w:rFonts w:ascii="Times New Roman" w:hAnsi="Times New Roman"/>
          <w:b w:val="false"/>
          <w:bCs w:val="false"/>
          <w:i w:val="false"/>
          <w:iCs w:val="false"/>
          <w:sz w:val="27"/>
          <w:szCs w:val="27"/>
        </w:rPr>
        <w:t>поселения Погарского района Брянской области на 2021-202</w:t>
      </w:r>
      <w:r>
        <w:rPr>
          <w:rFonts w:ascii="Times New Roman" w:hAnsi="Times New Roman"/>
          <w:b w:val="false"/>
          <w:bCs w:val="false"/>
          <w:i w:val="false"/>
          <w:iCs w:val="false"/>
          <w:sz w:val="27"/>
          <w:szCs w:val="27"/>
          <w:lang w:val="ru-RU"/>
        </w:rPr>
        <w:t>4</w:t>
      </w:r>
      <w:r>
        <w:rPr>
          <w:rFonts w:ascii="Times New Roman" w:hAnsi="Times New Roman"/>
          <w:b w:val="false"/>
          <w:bCs w:val="false"/>
          <w:i w:val="false"/>
          <w:iCs w:val="false"/>
          <w:sz w:val="27"/>
          <w:szCs w:val="27"/>
        </w:rPr>
        <w:t xml:space="preserve"> годы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1469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3"/>
        <w:gridCol w:w="7806"/>
        <w:gridCol w:w="2149"/>
        <w:gridCol w:w="1475"/>
        <w:gridCol w:w="1300"/>
        <w:gridCol w:w="1428"/>
      </w:tblGrid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Объемы финансирования по годам (руб.)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7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7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1.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 xml:space="preserve">Муниципальное бюджетное общеобразова-тельное учреждение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Погарская средняя общеобразовательная школа №1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243550, Брянская область, Погарский район, пгт Погар, ул. Гагарина, д. 26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7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2.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 xml:space="preserve">Капитальный ремонт здания Муниципальное бюджетное общеобразовательное учреждение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Погарская средняя общеобразовательная школа №2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243550, Брянская область, пгт Погар, ул. Чехова, д.9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7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3.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pacing w:val="-2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"К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 xml:space="preserve">апитальный ремонт объекта: </w:t>
            </w:r>
          </w:p>
          <w:p>
            <w:pPr>
              <w:pStyle w:val="Standard"/>
              <w:widowControl w:val="false"/>
              <w:suppressAutoHyphens w:val="true"/>
              <w:spacing w:lineRule="auto" w:line="24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 xml:space="preserve">«Стадион на 2000 мест по адресу: Брянская область, </w:t>
            </w:r>
          </w:p>
          <w:p>
            <w:pPr>
              <w:pStyle w:val="Standard"/>
              <w:widowControl w:val="false"/>
              <w:suppressAutoHyphens w:val="true"/>
              <w:spacing w:lineRule="auto" w:line="24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SimSu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kern w:val="2"/>
                <w:sz w:val="27"/>
                <w:szCs w:val="27"/>
                <w:u w:val="none"/>
                <w:em w:val="none"/>
                <w:lang w:val="en-US" w:eastAsia="zh-CN" w:bidi="hi-IN"/>
              </w:rPr>
              <w:t>р-н Погарский, пгт Погар, ул.Чехова, д.9А"»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7"/>
                <w:szCs w:val="27"/>
                <w:u w:val="none"/>
                <w:em w:val="none"/>
              </w:rPr>
              <w:t>42  682 220,00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7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Капитальный ремонт здания библиотеки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 адресу: Брянская обл.,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Погарский р-н,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пгт Погар, ул. Советская, д.5А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499 666,00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114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Капитальный ремонт ГБУЗ «Погарская центральная районная больница» ПОЛИКЛИНИКА по адресу: Брянская область, Погарский р-н, пгт Погар, ул. Октябрьская, д. 41«Ц»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19 200 000,00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0" w:after="120"/>
      <w:outlineLvl w:val="0"/>
    </w:pPr>
    <w:rPr>
      <w:b/>
      <w:caps/>
      <w:kern w:val="2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94">
    <w:name w:val="ListLabel 94"/>
    <w:qFormat/>
    <w:rPr>
      <w:rFonts w:eastAsia="Times New Roman" w:cs="Times New Roman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 w:cs="Courier New"/>
      <w:sz w:val="28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Courier New"/>
      <w:sz w:val="28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Courier New"/>
      <w:sz w:val="28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Courier New"/>
      <w:sz w:val="28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Courier New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Courier New"/>
      <w:sz w:val="28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Courier New"/>
      <w:sz w:val="28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Courier New"/>
      <w:sz w:val="28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Courier New"/>
      <w:sz w:val="28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imes New Roman" w:hAnsi="Times New Roman" w:cs="Courier New"/>
      <w:sz w:val="28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Courier New"/>
      <w:sz w:val="28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imes New Roman" w:hAnsi="Times New Roman" w:cs="Courier New"/>
      <w:sz w:val="28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Courier New"/>
      <w:sz w:val="28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Times New Roman" w:hAnsi="Times New Roman" w:cs="Courier New"/>
      <w:sz w:val="28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imes New Roman" w:hAnsi="Times New Roman" w:cs="Courier New"/>
      <w:sz w:val="28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Times New Roman" w:hAnsi="Times New Roman" w:cs="Courier New"/>
      <w:sz w:val="28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ascii="Times New Roman" w:hAnsi="Times New Roman" w:cs="Courier New"/>
      <w:sz w:val="28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imes New Roman" w:hAnsi="Times New Roman" w:cs="Courier New"/>
      <w:sz w:val="28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ascii="Times New Roman" w:hAnsi="Times New Roman" w:cs="Courier New"/>
      <w:sz w:val="28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Times New Roman" w:hAnsi="Times New Roman" w:cs="Courier New"/>
      <w:sz w:val="28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ascii="Times New Roman" w:hAnsi="Times New Roman" w:cs="Courier New"/>
      <w:sz w:val="28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бычный (веб)"/>
    <w:basedOn w:val="Normal"/>
    <w:qFormat/>
    <w:pPr>
      <w:suppressAutoHyphens w:val="false"/>
      <w:spacing w:before="280" w:after="119"/>
    </w:pPr>
    <w:rPr>
      <w:color w:val="00000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ind w:firstLine="720"/>
      <w:jc w:val="both"/>
    </w:pPr>
    <w:rPr/>
  </w:style>
  <w:style w:type="paragraph" w:styleId="11">
    <w:name w:val="1 Стандартный текст"/>
    <w:basedOn w:val="Normal"/>
    <w:qFormat/>
    <w:pPr>
      <w:spacing w:lineRule="auto" w:line="360"/>
      <w:ind w:firstLine="709"/>
      <w:jc w:val="both"/>
    </w:pPr>
    <w:rPr/>
  </w:style>
  <w:style w:type="paragraph" w:styleId="Style21">
    <w:name w:val="МОЕ"/>
    <w:basedOn w:val="Normal"/>
    <w:qFormat/>
    <w:pPr>
      <w:widowControl w:val="false"/>
      <w:snapToGrid w:val="false"/>
      <w:ind w:firstLine="709"/>
      <w:jc w:val="both"/>
    </w:pPr>
    <w:rPr>
      <w:spacing w:val="10"/>
      <w:sz w:val="28"/>
      <w:szCs w:val="28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6">
    <w:name w:val="6 - Список"/>
    <w:basedOn w:val="11"/>
    <w:qFormat/>
    <w:pPr>
      <w:ind w:left="714" w:hanging="357"/>
    </w:pPr>
    <w:rPr/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12">
    <w:name w:val="Название1"/>
    <w:basedOn w:val="Normal"/>
    <w:qFormat/>
    <w:pPr>
      <w:jc w:val="center"/>
    </w:pPr>
    <w:rPr>
      <w:rFonts w:ascii="Arial" w:hAnsi="Arial" w:cs="Arial"/>
      <w:szCs w:val="20"/>
    </w:rPr>
  </w:style>
  <w:style w:type="paragraph" w:styleId="S">
    <w:name w:val="S_Обычный"/>
    <w:basedOn w:val="Normal"/>
    <w:qFormat/>
    <w:pPr>
      <w:ind w:firstLine="709"/>
      <w:jc w:val="both"/>
    </w:pPr>
    <w:rPr>
      <w:lang w:val="ru-RU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898</TotalTime>
  <Application>LibreOffice/6.1.0.3$Windows_x86 LibreOffice_project/efb621ed25068d70781dc026f7e9c5187a4decd1</Application>
  <Pages>17</Pages>
  <Words>3012</Words>
  <Characters>22415</Characters>
  <CharactersWithSpaces>25858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2021-03-25T08:34:15Z</cp:lastPrinted>
  <dcterms:modified xsi:type="dcterms:W3CDTF">2021-03-30T10:41:22Z</dcterms:modified>
  <cp:revision>27</cp:revision>
  <dc:subject/>
  <dc:title/>
</cp:coreProperties>
</file>