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rFonts w:ascii="Times New Roman" w:hAnsi="Times New Roman"/>
          <w:sz w:val="24"/>
          <w:szCs w:val="24"/>
        </w:rPr>
      </w:pPr>
      <w:r>
        <w:rPr>
          <w:rFonts w:ascii="Times New Roman" w:hAnsi="Times New Roman"/>
          <w:sz w:val="24"/>
          <w:szCs w:val="24"/>
        </w:rPr>
      </w:r>
    </w:p>
    <w:p>
      <w:pPr>
        <w:pStyle w:val="ConsPlusTitle"/>
        <w:numPr>
          <w:ilvl w:val="0"/>
          <w:numId w:val="0"/>
        </w:numPr>
        <w:jc w:val="center"/>
        <w:outlineLvl w:val="0"/>
        <w:rPr>
          <w:rFonts w:ascii="Times New Roman" w:hAnsi="Times New Roman"/>
          <w:sz w:val="24"/>
          <w:szCs w:val="24"/>
        </w:rPr>
      </w:pPr>
      <w:r>
        <w:rPr>
          <w:rFonts w:ascii="Times New Roman" w:hAnsi="Times New Roman"/>
          <w:sz w:val="24"/>
          <w:szCs w:val="24"/>
        </w:rPr>
        <w:t>ПРАВИТЕЛЬСТВО РОССИЙСКОЙ ФЕДЕРАЦИИ</w:t>
      </w:r>
    </w:p>
    <w:p>
      <w:pPr>
        <w:pStyle w:val="ConsPlusTitle"/>
        <w:jc w:val="center"/>
        <w:rPr>
          <w:rFonts w:ascii="Times New Roman" w:hAnsi="Times New Roman"/>
          <w:sz w:val="24"/>
          <w:szCs w:val="24"/>
        </w:rPr>
      </w:pPr>
      <w:r>
        <w:rPr>
          <w:rFonts w:ascii="Times New Roman" w:hAnsi="Times New Roman"/>
          <w:sz w:val="24"/>
          <w:szCs w:val="24"/>
        </w:rPr>
      </w:r>
    </w:p>
    <w:p>
      <w:pPr>
        <w:pStyle w:val="ConsPlusTitle"/>
        <w:jc w:val="center"/>
        <w:rPr>
          <w:rFonts w:ascii="Times New Roman" w:hAnsi="Times New Roman"/>
          <w:sz w:val="24"/>
          <w:szCs w:val="24"/>
        </w:rPr>
      </w:pPr>
      <w:r>
        <w:rPr>
          <w:rFonts w:ascii="Times New Roman" w:hAnsi="Times New Roman"/>
          <w:sz w:val="24"/>
          <w:szCs w:val="24"/>
        </w:rPr>
        <w:t>ПОСТАНОВЛЕНИЕ</w:t>
      </w:r>
    </w:p>
    <w:p>
      <w:pPr>
        <w:pStyle w:val="ConsPlusTitle"/>
        <w:jc w:val="center"/>
        <w:rPr>
          <w:rFonts w:ascii="Times New Roman" w:hAnsi="Times New Roman"/>
          <w:sz w:val="24"/>
          <w:szCs w:val="24"/>
        </w:rPr>
      </w:pPr>
      <w:r>
        <w:rPr>
          <w:rFonts w:ascii="Times New Roman" w:hAnsi="Times New Roman"/>
          <w:sz w:val="24"/>
          <w:szCs w:val="24"/>
        </w:rPr>
        <w:t>от 18 апреля 2020 г. N 554</w:t>
      </w:r>
    </w:p>
    <w:p>
      <w:pPr>
        <w:pStyle w:val="ConsPlusTitle"/>
        <w:jc w:val="center"/>
        <w:rPr>
          <w:rFonts w:ascii="Times New Roman" w:hAnsi="Times New Roman"/>
          <w:sz w:val="24"/>
          <w:szCs w:val="24"/>
        </w:rPr>
      </w:pPr>
      <w:r>
        <w:rPr>
          <w:rFonts w:ascii="Times New Roman" w:hAnsi="Times New Roman"/>
          <w:sz w:val="24"/>
          <w:szCs w:val="24"/>
        </w:rPr>
      </w:r>
    </w:p>
    <w:p>
      <w:pPr>
        <w:pStyle w:val="ConsPlusTitle"/>
        <w:jc w:val="center"/>
        <w:rPr>
          <w:rFonts w:ascii="Times New Roman" w:hAnsi="Times New Roman"/>
          <w:sz w:val="24"/>
          <w:szCs w:val="24"/>
        </w:rPr>
      </w:pPr>
      <w:r>
        <w:rPr>
          <w:rFonts w:ascii="Times New Roman" w:hAnsi="Times New Roman"/>
          <w:sz w:val="24"/>
          <w:szCs w:val="24"/>
        </w:rPr>
        <w:t>О ВНЕСЕНИИ ИЗМЕНЕНИЙ</w:t>
      </w:r>
    </w:p>
    <w:p>
      <w:pPr>
        <w:pStyle w:val="ConsPlusTitle"/>
        <w:jc w:val="center"/>
        <w:rPr>
          <w:rFonts w:ascii="Times New Roman" w:hAnsi="Times New Roman"/>
          <w:sz w:val="24"/>
          <w:szCs w:val="24"/>
        </w:rPr>
      </w:pPr>
      <w:r>
        <w:rPr>
          <w:rFonts w:ascii="Times New Roman" w:hAnsi="Times New Roman"/>
          <w:sz w:val="24"/>
          <w:szCs w:val="24"/>
        </w:rPr>
        <w:t>В НЕКОТОРЫЕ АКТЫ ПРАВИТЕЛЬСТВА РОССИЙСКОЙ ФЕДЕРАЦИИ</w:t>
      </w:r>
    </w:p>
    <w:p>
      <w:pPr>
        <w:pStyle w:val="ConsPlusTitle"/>
        <w:jc w:val="center"/>
        <w:rPr>
          <w:rFonts w:ascii="Times New Roman" w:hAnsi="Times New Roman"/>
          <w:sz w:val="24"/>
          <w:szCs w:val="24"/>
        </w:rPr>
      </w:pPr>
      <w:r>
        <w:rPr>
          <w:rFonts w:ascii="Times New Roman" w:hAnsi="Times New Roman"/>
          <w:sz w:val="24"/>
          <w:szCs w:val="24"/>
        </w:rPr>
        <w:t>ПО ВОПРОСАМ СОВЕРШЕНСТВОВАНИЯ ОРГАНИЗАЦИИ УЧЕТА</w:t>
      </w:r>
    </w:p>
    <w:p>
      <w:pPr>
        <w:pStyle w:val="ConsPlusTitle"/>
        <w:jc w:val="center"/>
        <w:rPr>
          <w:rFonts w:ascii="Times New Roman" w:hAnsi="Times New Roman"/>
          <w:sz w:val="24"/>
          <w:szCs w:val="24"/>
        </w:rPr>
      </w:pPr>
      <w:r>
        <w:rPr>
          <w:rFonts w:ascii="Times New Roman" w:hAnsi="Times New Roman"/>
          <w:sz w:val="24"/>
          <w:szCs w:val="24"/>
        </w:rPr>
        <w:t>ЭЛЕКТРИЧЕСКОЙ ЭНЕРГИИ</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Правительство Российской Федерации постановляет:</w:t>
      </w:r>
    </w:p>
    <w:p>
      <w:pPr>
        <w:pStyle w:val="ConsPlusNormal"/>
        <w:spacing w:before="220" w:after="0"/>
        <w:ind w:firstLine="540"/>
        <w:jc w:val="both"/>
        <w:rPr/>
      </w:pPr>
      <w:r>
        <w:rPr>
          <w:rFonts w:ascii="Times New Roman" w:hAnsi="Times New Roman"/>
          <w:sz w:val="24"/>
          <w:szCs w:val="24"/>
        </w:rPr>
        <w:t xml:space="preserve">1. Утвердить прилагаемые </w:t>
      </w:r>
      <w:hyperlink w:anchor="P31">
        <w:r>
          <w:rPr>
            <w:rStyle w:val="ListLabel1"/>
            <w:rFonts w:ascii="Times New Roman" w:hAnsi="Times New Roman"/>
            <w:color w:val="0000FF"/>
            <w:sz w:val="24"/>
            <w:szCs w:val="24"/>
          </w:rPr>
          <w:t>изменения</w:t>
        </w:r>
      </w:hyperlink>
      <w:r>
        <w:rPr>
          <w:rFonts w:ascii="Times New Roman" w:hAnsi="Times New Roman"/>
          <w:sz w:val="24"/>
          <w:szCs w:val="24"/>
        </w:rPr>
        <w:t>, которые вносятся в акты Правительства Российской Федерации по вопросам совершенствования организации учета электрической энергии.</w:t>
      </w:r>
    </w:p>
    <w:p>
      <w:pPr>
        <w:pStyle w:val="ConsPlusNormal"/>
        <w:spacing w:before="220" w:after="0"/>
        <w:ind w:firstLine="540"/>
        <w:jc w:val="both"/>
        <w:rPr/>
      </w:pPr>
      <w:r>
        <w:rPr>
          <w:rFonts w:ascii="Times New Roman" w:hAnsi="Times New Roman"/>
          <w:sz w:val="24"/>
          <w:szCs w:val="24"/>
        </w:rPr>
        <w:t xml:space="preserve">2. Установить, что используемые на дату вступления в силу настоящего постановления приборы учета электрической энергии (измерительные трансформаторы), не соответствующие требованиям, указанным в </w:t>
      </w:r>
      <w:hyperlink r:id="rId2">
        <w:r>
          <w:rPr>
            <w:rStyle w:val="ListLabel1"/>
            <w:rFonts w:ascii="Times New Roman" w:hAnsi="Times New Roman"/>
            <w:color w:val="0000FF"/>
            <w:sz w:val="24"/>
            <w:szCs w:val="24"/>
          </w:rPr>
          <w:t>разделе X</w:t>
        </w:r>
      </w:hyperlink>
      <w:r>
        <w:rPr>
          <w:rFonts w:ascii="Times New Roman" w:hAnsi="Times New Roman"/>
          <w:sz w:val="24"/>
          <w:szCs w:val="24"/>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могут быть использованы вплоть до истечения установленного для них межповерочного интервала, до истечения срока эксплуатации либо до момента выхода таких приборов учета из строя или их утраты.</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 Рекомендовать гарантирующим поставщикам электрической энергии не позднее одного месяца с даты вступления в силу настоящего постановления разместить в центрах очного обслуживания потребителей (покупателей) и на своих сайтах в информационно-телекоммуникационной сети "Интернет" информацию о порядке оснащения энергопринимающих устройств потребителей электрической энергии приборами учета электрической энергии, порядке снятия и передачи показаний приборов учета электрической энергии, лицах (наименовании организаций), на которых возложены обязанности по обеспечению осуществления указанных функций, об иных вопросах организации коммерческого учета электрической энергии (мощности) с учетом изменений, утвержденных настоящим постановлением.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4. Министерству энергетики Российской Федерации, Министерству строительства и жилищно-коммунального хозяйства Российской Федерации, Министерству цифрового развития, связи и массовых коммуникаций Российской Федерации и Федеральной антимонопольной службе обеспечить проведение мониторинга реализации настоящего постановления и о его результатах доложить в Правительство Российской Федерации до 1 июля 2021 г.</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5. Настоящее постановление вступает в силу с 1 июля 2020 г.</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jc w:val="right"/>
        <w:rPr>
          <w:rFonts w:ascii="Times New Roman" w:hAnsi="Times New Roman"/>
          <w:sz w:val="24"/>
          <w:szCs w:val="24"/>
        </w:rPr>
      </w:pPr>
      <w:r>
        <w:rPr>
          <w:rFonts w:ascii="Times New Roman" w:hAnsi="Times New Roman"/>
          <w:sz w:val="24"/>
          <w:szCs w:val="24"/>
        </w:rPr>
        <w:t>Председатель Правительства</w:t>
      </w:r>
    </w:p>
    <w:p>
      <w:pPr>
        <w:pStyle w:val="ConsPlusNormal"/>
        <w:jc w:val="right"/>
        <w:rPr>
          <w:rFonts w:ascii="Times New Roman" w:hAnsi="Times New Roman"/>
          <w:sz w:val="24"/>
          <w:szCs w:val="24"/>
        </w:rPr>
      </w:pPr>
      <w:r>
        <w:rPr>
          <w:rFonts w:ascii="Times New Roman" w:hAnsi="Times New Roman"/>
          <w:sz w:val="24"/>
          <w:szCs w:val="24"/>
        </w:rPr>
        <w:t>Российской Федерации</w:t>
      </w:r>
    </w:p>
    <w:p>
      <w:pPr>
        <w:pStyle w:val="ConsPlusNormal"/>
        <w:jc w:val="right"/>
        <w:rPr>
          <w:rFonts w:ascii="Times New Roman" w:hAnsi="Times New Roman"/>
          <w:sz w:val="24"/>
          <w:szCs w:val="24"/>
        </w:rPr>
      </w:pPr>
      <w:r>
        <w:rPr>
          <w:rFonts w:ascii="Times New Roman" w:hAnsi="Times New Roman"/>
          <w:sz w:val="24"/>
          <w:szCs w:val="24"/>
        </w:rPr>
        <w:t>М.МИШУСТИН</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numPr>
          <w:ilvl w:val="0"/>
          <w:numId w:val="0"/>
        </w:numPr>
        <w:jc w:val="right"/>
        <w:outlineLvl w:val="0"/>
        <w:rPr>
          <w:rFonts w:ascii="Times New Roman" w:hAnsi="Times New Roman"/>
          <w:sz w:val="24"/>
          <w:szCs w:val="24"/>
        </w:rPr>
      </w:pPr>
      <w:r>
        <w:rPr>
          <w:rFonts w:ascii="Times New Roman" w:hAnsi="Times New Roman"/>
          <w:sz w:val="24"/>
          <w:szCs w:val="24"/>
        </w:rPr>
        <w:t>Утверждены</w:t>
      </w:r>
    </w:p>
    <w:p>
      <w:pPr>
        <w:pStyle w:val="ConsPlusNormal"/>
        <w:jc w:val="right"/>
        <w:rPr>
          <w:rFonts w:ascii="Times New Roman" w:hAnsi="Times New Roman"/>
          <w:sz w:val="24"/>
          <w:szCs w:val="24"/>
        </w:rPr>
      </w:pPr>
      <w:r>
        <w:rPr>
          <w:rFonts w:ascii="Times New Roman" w:hAnsi="Times New Roman"/>
          <w:sz w:val="24"/>
          <w:szCs w:val="24"/>
        </w:rPr>
        <w:t>постановлением Правительства</w:t>
      </w:r>
    </w:p>
    <w:p>
      <w:pPr>
        <w:pStyle w:val="ConsPlusNormal"/>
        <w:jc w:val="right"/>
        <w:rPr>
          <w:rFonts w:ascii="Times New Roman" w:hAnsi="Times New Roman"/>
          <w:sz w:val="24"/>
          <w:szCs w:val="24"/>
        </w:rPr>
      </w:pPr>
      <w:r>
        <w:rPr>
          <w:rFonts w:ascii="Times New Roman" w:hAnsi="Times New Roman"/>
          <w:sz w:val="24"/>
          <w:szCs w:val="24"/>
        </w:rPr>
        <w:t>Российской Федерации</w:t>
      </w:r>
    </w:p>
    <w:p>
      <w:pPr>
        <w:pStyle w:val="ConsPlusNormal"/>
        <w:jc w:val="right"/>
        <w:rPr>
          <w:rFonts w:ascii="Times New Roman" w:hAnsi="Times New Roman"/>
          <w:sz w:val="24"/>
          <w:szCs w:val="24"/>
        </w:rPr>
      </w:pPr>
      <w:r>
        <w:rPr>
          <w:rFonts w:ascii="Times New Roman" w:hAnsi="Times New Roman"/>
          <w:sz w:val="24"/>
          <w:szCs w:val="24"/>
        </w:rPr>
        <w:t>от 18 апреля 2020 г. N 554</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Title"/>
        <w:jc w:val="center"/>
        <w:rPr>
          <w:rFonts w:ascii="Times New Roman" w:hAnsi="Times New Roman"/>
          <w:sz w:val="24"/>
          <w:szCs w:val="24"/>
        </w:rPr>
      </w:pPr>
      <w:bookmarkStart w:id="0" w:name="P31"/>
      <w:bookmarkEnd w:id="0"/>
      <w:r>
        <w:rPr>
          <w:rFonts w:ascii="Times New Roman" w:hAnsi="Times New Roman"/>
          <w:sz w:val="24"/>
          <w:szCs w:val="24"/>
        </w:rPr>
        <w:t>ИЗМЕНЕНИЯ,</w:t>
      </w:r>
    </w:p>
    <w:p>
      <w:pPr>
        <w:pStyle w:val="ConsPlusTitle"/>
        <w:jc w:val="center"/>
        <w:rPr>
          <w:rFonts w:ascii="Times New Roman" w:hAnsi="Times New Roman"/>
          <w:sz w:val="24"/>
          <w:szCs w:val="24"/>
        </w:rPr>
      </w:pPr>
      <w:r>
        <w:rPr>
          <w:rFonts w:ascii="Times New Roman" w:hAnsi="Times New Roman"/>
          <w:sz w:val="24"/>
          <w:szCs w:val="24"/>
        </w:rPr>
        <w:t>КОТОРЫЕ ВНОСЯТСЯ В АКТЫ ПРАВИТЕЛЬСТВА РОССИЙСКОЙ ФЕДЕРАЦИИ</w:t>
      </w:r>
    </w:p>
    <w:p>
      <w:pPr>
        <w:pStyle w:val="ConsPlusTitle"/>
        <w:jc w:val="center"/>
        <w:rPr>
          <w:rFonts w:ascii="Times New Roman" w:hAnsi="Times New Roman"/>
          <w:sz w:val="24"/>
          <w:szCs w:val="24"/>
        </w:rPr>
      </w:pPr>
      <w:r>
        <w:rPr>
          <w:rFonts w:ascii="Times New Roman" w:hAnsi="Times New Roman"/>
          <w:sz w:val="24"/>
          <w:szCs w:val="24"/>
        </w:rPr>
        <w:t>ПО ВОПРОСАМ СОВЕРШЕНСТВОВАНИЯ ОРГАНИЗАЦИИ УЧЕТА</w:t>
      </w:r>
    </w:p>
    <w:p>
      <w:pPr>
        <w:pStyle w:val="ConsPlusTitle"/>
        <w:jc w:val="center"/>
        <w:rPr>
          <w:rFonts w:ascii="Times New Roman" w:hAnsi="Times New Roman"/>
          <w:sz w:val="24"/>
          <w:szCs w:val="24"/>
        </w:rPr>
      </w:pPr>
      <w:r>
        <w:rPr>
          <w:rFonts w:ascii="Times New Roman" w:hAnsi="Times New Roman"/>
          <w:sz w:val="24"/>
          <w:szCs w:val="24"/>
        </w:rPr>
        <w:t>ЭЛЕКТРИЧЕСКОЙ ЭНЕРГИИ</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pPr>
      <w:r>
        <w:rPr>
          <w:rFonts w:ascii="Times New Roman" w:hAnsi="Times New Roman"/>
          <w:sz w:val="24"/>
          <w:szCs w:val="24"/>
        </w:rPr>
        <w:t xml:space="preserve">1. В Основных </w:t>
      </w:r>
      <w:hyperlink r:id="rId3">
        <w:r>
          <w:rPr>
            <w:rStyle w:val="ListLabel1"/>
            <w:rFonts w:ascii="Times New Roman" w:hAnsi="Times New Roman"/>
            <w:color w:val="0000FF"/>
            <w:sz w:val="24"/>
            <w:szCs w:val="24"/>
          </w:rPr>
          <w:t>положениях</w:t>
        </w:r>
      </w:hyperlink>
      <w:r>
        <w:rPr>
          <w:rFonts w:ascii="Times New Roman" w:hAnsi="Times New Roman"/>
          <w:sz w:val="24"/>
          <w:szCs w:val="24"/>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68; N 5, ст. 407; N 31, ст. 4226; N 32, ст. 4309; N 35, ст. 4523, 4528; 2014, N 7, ст. 689; N 32, ст. 4521; 2015, N 5, ст. 827; N 10, ст. 1540, 1541; N 23, ст. 3312; N 28, ст. 4244; N 37, ст. 5153; 2016, N 9, ст. 1266; N 22, ст. 3212; N 42, ст. 5942; N 44, ст. 6135; N 51, ст. 7372; 2017, N 1, ст. 178; N 2, ст. 338; N 8, ст. 1230; N 20, ст. 2927; N 21, ст. 3009; N 23, ст. 3323; N 29, ст. 4372; N 31, ст. 4923; N 32, ст. 5077; N 36, ст. 5441; N 45, ст. 6674; N 47, ст. 6987, 6997; 2018, N 3, ст. 543; N 28, ст. 4212, 4223; N 34, ст. 5483; N 39, ст. 5970; N 41, ст. 6241; N 51, ст. 8007; N 53, ст. 8666; 2019, N 26, ст. 3453; 2020, N 2, ст. 189):</w:t>
      </w:r>
    </w:p>
    <w:p>
      <w:pPr>
        <w:pStyle w:val="ConsPlusNormal"/>
        <w:spacing w:before="220" w:after="0"/>
        <w:ind w:firstLine="540"/>
        <w:jc w:val="both"/>
        <w:rPr/>
      </w:pPr>
      <w:r>
        <w:rPr>
          <w:rFonts w:ascii="Times New Roman" w:hAnsi="Times New Roman"/>
          <w:sz w:val="24"/>
          <w:szCs w:val="24"/>
        </w:rPr>
        <w:t xml:space="preserve">а) </w:t>
      </w:r>
      <w:hyperlink r:id="rId4">
        <w:r>
          <w:rPr>
            <w:rStyle w:val="ListLabel1"/>
            <w:rFonts w:ascii="Times New Roman" w:hAnsi="Times New Roman"/>
            <w:color w:val="0000FF"/>
            <w:sz w:val="24"/>
            <w:szCs w:val="24"/>
          </w:rPr>
          <w:t>абзац шестнадцатый пункта 2</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pPr>
        <w:pStyle w:val="ConsPlusNormal"/>
        <w:spacing w:before="220" w:after="0"/>
        <w:ind w:firstLine="540"/>
        <w:jc w:val="both"/>
        <w:rPr/>
      </w:pPr>
      <w:r>
        <w:rPr>
          <w:rFonts w:ascii="Times New Roman" w:hAnsi="Times New Roman"/>
          <w:sz w:val="24"/>
          <w:szCs w:val="24"/>
        </w:rPr>
        <w:t xml:space="preserve">б) </w:t>
      </w:r>
      <w:hyperlink r:id="rId5">
        <w:r>
          <w:rPr>
            <w:rStyle w:val="ListLabel1"/>
            <w:rFonts w:ascii="Times New Roman" w:hAnsi="Times New Roman"/>
            <w:color w:val="0000FF"/>
            <w:sz w:val="24"/>
            <w:szCs w:val="24"/>
          </w:rPr>
          <w:t>раздел I</w:t>
        </w:r>
      </w:hyperlink>
      <w:r>
        <w:rPr>
          <w:rFonts w:ascii="Times New Roman" w:hAnsi="Times New Roman"/>
          <w:sz w:val="24"/>
          <w:szCs w:val="24"/>
        </w:rPr>
        <w:t xml:space="preserve"> дополнить пунктом 8(1) следующего содержания: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 направление короткого текстового сообщения (далее - смс-сообщение) на выделенный 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pPr>
        <w:pStyle w:val="ConsPlusNormal"/>
        <w:spacing w:before="220" w:after="0"/>
        <w:ind w:firstLine="540"/>
        <w:jc w:val="both"/>
        <w:rPr/>
      </w:pPr>
      <w:r>
        <w:rPr>
          <w:rFonts w:ascii="Times New Roman" w:hAnsi="Times New Roman"/>
          <w:sz w:val="24"/>
          <w:szCs w:val="24"/>
        </w:rPr>
        <w:t xml:space="preserve">в) в </w:t>
      </w:r>
      <w:hyperlink r:id="rId6">
        <w:r>
          <w:rPr>
            <w:rStyle w:val="ListLabel1"/>
            <w:rFonts w:ascii="Times New Roman" w:hAnsi="Times New Roman"/>
            <w:color w:val="0000FF"/>
            <w:sz w:val="24"/>
            <w:szCs w:val="24"/>
          </w:rPr>
          <w:t>пункте 16</w:t>
        </w:r>
      </w:hyperlink>
      <w:r>
        <w:rPr>
          <w:rFonts w:ascii="Times New Roman" w:hAnsi="Times New Roman"/>
          <w:sz w:val="24"/>
          <w:szCs w:val="24"/>
        </w:rPr>
        <w:t>:</w:t>
      </w:r>
    </w:p>
    <w:p>
      <w:pPr>
        <w:pStyle w:val="ConsPlusNormal"/>
        <w:spacing w:before="220" w:after="0"/>
        <w:ind w:firstLine="540"/>
        <w:jc w:val="both"/>
        <w:rPr/>
      </w:pPr>
      <w:r>
        <w:rPr>
          <w:rFonts w:ascii="Times New Roman" w:hAnsi="Times New Roman"/>
          <w:sz w:val="24"/>
          <w:szCs w:val="24"/>
        </w:rPr>
        <w:t xml:space="preserve">в </w:t>
      </w:r>
      <w:hyperlink r:id="rId7">
        <w:r>
          <w:rPr>
            <w:rStyle w:val="ListLabel1"/>
            <w:rFonts w:ascii="Times New Roman" w:hAnsi="Times New Roman"/>
            <w:color w:val="0000FF"/>
            <w:sz w:val="24"/>
            <w:szCs w:val="24"/>
          </w:rPr>
          <w:t>абзаце первом</w:t>
        </w:r>
      </w:hyperlink>
      <w:r>
        <w:rPr>
          <w:rFonts w:ascii="Times New Roman" w:hAnsi="Times New Roman"/>
          <w:sz w:val="24"/>
          <w:szCs w:val="24"/>
        </w:rPr>
        <w:t xml:space="preserve"> слова "для потребителей" исключить;</w:t>
      </w:r>
    </w:p>
    <w:p>
      <w:pPr>
        <w:pStyle w:val="ConsPlusNormal"/>
        <w:spacing w:before="220" w:after="0"/>
        <w:ind w:firstLine="540"/>
        <w:jc w:val="both"/>
        <w:rPr/>
      </w:pPr>
      <w:hyperlink r:id="rId8">
        <w:r>
          <w:rPr>
            <w:rStyle w:val="ListLabel1"/>
            <w:rFonts w:ascii="Times New Roman" w:hAnsi="Times New Roman"/>
            <w:color w:val="0000FF"/>
            <w:sz w:val="24"/>
            <w:szCs w:val="24"/>
          </w:rPr>
          <w:t>абзац пятый</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"требование о снятии показаний приборов учета лицом, ответственным за снятие показаний приборов учета в соответствии с разделом X настоящего документа, на дату и время, установленные в соответствии с абзацем четвертым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пунктом 21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pPr>
        <w:pStyle w:val="ConsPlusNormal"/>
        <w:spacing w:before="220" w:after="0"/>
        <w:ind w:firstLine="540"/>
        <w:jc w:val="both"/>
        <w:rPr/>
      </w:pPr>
      <w:r>
        <w:rPr>
          <w:rFonts w:ascii="Times New Roman" w:hAnsi="Times New Roman"/>
          <w:sz w:val="24"/>
          <w:szCs w:val="24"/>
        </w:rPr>
        <w:t xml:space="preserve">г) в предложении первом </w:t>
      </w:r>
      <w:hyperlink r:id="rId9">
        <w:r>
          <w:rPr>
            <w:rStyle w:val="ListLabel1"/>
            <w:rFonts w:ascii="Times New Roman" w:hAnsi="Times New Roman"/>
            <w:color w:val="0000FF"/>
            <w:sz w:val="24"/>
            <w:szCs w:val="24"/>
          </w:rPr>
          <w:t>пункта 22</w:t>
        </w:r>
      </w:hyperlink>
      <w:r>
        <w:rPr>
          <w:rFonts w:ascii="Times New Roman" w:hAnsi="Times New Roman"/>
          <w:sz w:val="24"/>
          <w:szCs w:val="24"/>
        </w:rPr>
        <w:t xml:space="preserve"> слово "потребителем" заменить словами "субъектом розничных рынков";</w:t>
      </w:r>
    </w:p>
    <w:p>
      <w:pPr>
        <w:pStyle w:val="ConsPlusNormal"/>
        <w:spacing w:before="220" w:after="0"/>
        <w:ind w:firstLine="540"/>
        <w:jc w:val="both"/>
        <w:rPr/>
      </w:pPr>
      <w:r>
        <w:rPr>
          <w:rFonts w:ascii="Times New Roman" w:hAnsi="Times New Roman"/>
          <w:sz w:val="24"/>
          <w:szCs w:val="24"/>
        </w:rPr>
        <w:t xml:space="preserve">д) </w:t>
      </w:r>
      <w:hyperlink r:id="rId10">
        <w:r>
          <w:rPr>
            <w:rStyle w:val="ListLabel1"/>
            <w:rFonts w:ascii="Times New Roman" w:hAnsi="Times New Roman"/>
            <w:color w:val="0000FF"/>
            <w:sz w:val="24"/>
            <w:szCs w:val="24"/>
          </w:rPr>
          <w:t>абзац второй пункта 32</w:t>
        </w:r>
      </w:hyperlink>
      <w:r>
        <w:rPr>
          <w:rFonts w:ascii="Times New Roman" w:hAnsi="Times New Roman"/>
          <w:sz w:val="24"/>
          <w:szCs w:val="24"/>
        </w:rPr>
        <w:t xml:space="preserve"> после слов "утвержденными постановлением Правительства Российской Федерации от 27 декабря 2004 г. N 861" дополнить словами "(далее - Правила технологического присоединения)";</w:t>
      </w:r>
    </w:p>
    <w:p>
      <w:pPr>
        <w:pStyle w:val="ConsPlusNormal"/>
        <w:spacing w:before="220" w:after="0"/>
        <w:ind w:firstLine="540"/>
        <w:jc w:val="both"/>
        <w:rPr/>
      </w:pPr>
      <w:r>
        <w:rPr>
          <w:rFonts w:ascii="Times New Roman" w:hAnsi="Times New Roman"/>
          <w:sz w:val="24"/>
          <w:szCs w:val="24"/>
        </w:rPr>
        <w:t xml:space="preserve">е) в </w:t>
      </w:r>
      <w:hyperlink r:id="rId11">
        <w:r>
          <w:rPr>
            <w:rStyle w:val="ListLabel1"/>
            <w:rFonts w:ascii="Times New Roman" w:hAnsi="Times New Roman"/>
            <w:color w:val="0000FF"/>
            <w:sz w:val="24"/>
            <w:szCs w:val="24"/>
          </w:rPr>
          <w:t>абзаце первом пункта 39(1)</w:t>
        </w:r>
      </w:hyperlink>
      <w:r>
        <w:rPr>
          <w:rFonts w:ascii="Times New Roman" w:hAnsi="Times New Roman"/>
          <w:sz w:val="24"/>
          <w:szCs w:val="24"/>
        </w:rPr>
        <w:t xml:space="preserve"> слова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исключить;</w:t>
      </w:r>
    </w:p>
    <w:p>
      <w:pPr>
        <w:pStyle w:val="ConsPlusNormal"/>
        <w:spacing w:before="220" w:after="0"/>
        <w:ind w:firstLine="540"/>
        <w:jc w:val="both"/>
        <w:rPr/>
      </w:pPr>
      <w:r>
        <w:rPr>
          <w:rFonts w:ascii="Times New Roman" w:hAnsi="Times New Roman"/>
          <w:sz w:val="24"/>
          <w:szCs w:val="24"/>
        </w:rPr>
        <w:t xml:space="preserve">ж) в </w:t>
      </w:r>
      <w:hyperlink r:id="rId12">
        <w:r>
          <w:rPr>
            <w:rStyle w:val="ListLabel1"/>
            <w:rFonts w:ascii="Times New Roman" w:hAnsi="Times New Roman"/>
            <w:color w:val="0000FF"/>
            <w:sz w:val="24"/>
            <w:szCs w:val="24"/>
          </w:rPr>
          <w:t>пункте 40</w:t>
        </w:r>
      </w:hyperlink>
      <w:r>
        <w:rPr>
          <w:rFonts w:ascii="Times New Roman" w:hAnsi="Times New Roman"/>
          <w:sz w:val="24"/>
          <w:szCs w:val="24"/>
        </w:rPr>
        <w:t>:</w:t>
      </w:r>
    </w:p>
    <w:p>
      <w:pPr>
        <w:pStyle w:val="ConsPlusNormal"/>
        <w:spacing w:before="220" w:after="0"/>
        <w:ind w:firstLine="540"/>
        <w:jc w:val="both"/>
        <w:rPr/>
      </w:pPr>
      <w:hyperlink r:id="rId13">
        <w:r>
          <w:rPr>
            <w:rStyle w:val="ListLabel1"/>
            <w:rFonts w:ascii="Times New Roman" w:hAnsi="Times New Roman"/>
            <w:color w:val="0000FF"/>
            <w:sz w:val="24"/>
            <w:szCs w:val="24"/>
          </w:rPr>
          <w:t>абзац девятый</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пункте 42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pPr>
        <w:pStyle w:val="ConsPlusNormal"/>
        <w:spacing w:before="220" w:after="0"/>
        <w:ind w:firstLine="540"/>
        <w:jc w:val="both"/>
        <w:rPr/>
      </w:pPr>
      <w:hyperlink r:id="rId14">
        <w:r>
          <w:rPr>
            <w:rStyle w:val="ListLabel1"/>
            <w:rFonts w:ascii="Times New Roman" w:hAnsi="Times New Roman"/>
            <w:color w:val="0000FF"/>
            <w:sz w:val="24"/>
            <w:szCs w:val="24"/>
          </w:rPr>
          <w:t>абзац четырнадцатый</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"неустойка в размере и в случаях, которые предусмотрены разделом X настоящего документа;";</w:t>
      </w:r>
    </w:p>
    <w:p>
      <w:pPr>
        <w:pStyle w:val="ConsPlusNormal"/>
        <w:spacing w:before="220" w:after="0"/>
        <w:ind w:firstLine="540"/>
        <w:jc w:val="both"/>
        <w:rPr/>
      </w:pPr>
      <w:r>
        <w:rPr>
          <w:rFonts w:ascii="Times New Roman" w:hAnsi="Times New Roman"/>
          <w:sz w:val="24"/>
          <w:szCs w:val="24"/>
        </w:rPr>
        <w:t xml:space="preserve">з) в </w:t>
      </w:r>
      <w:hyperlink r:id="rId15">
        <w:r>
          <w:rPr>
            <w:rStyle w:val="ListLabel1"/>
            <w:rFonts w:ascii="Times New Roman" w:hAnsi="Times New Roman"/>
            <w:color w:val="0000FF"/>
            <w:sz w:val="24"/>
            <w:szCs w:val="24"/>
          </w:rPr>
          <w:t>абзаце четвертом пункта 41</w:t>
        </w:r>
      </w:hyperlink>
      <w:r>
        <w:rPr>
          <w:rFonts w:ascii="Times New Roman" w:hAnsi="Times New Roman"/>
          <w:sz w:val="24"/>
          <w:szCs w:val="24"/>
        </w:rPr>
        <w:t xml:space="preserve"> слова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исключить;</w:t>
      </w:r>
    </w:p>
    <w:p>
      <w:pPr>
        <w:pStyle w:val="ConsPlusNormal"/>
        <w:spacing w:before="220" w:after="0"/>
        <w:ind w:firstLine="540"/>
        <w:jc w:val="both"/>
        <w:rPr/>
      </w:pPr>
      <w:r>
        <w:rPr>
          <w:rFonts w:ascii="Times New Roman" w:hAnsi="Times New Roman"/>
          <w:sz w:val="24"/>
          <w:szCs w:val="24"/>
        </w:rPr>
        <w:t xml:space="preserve">и) в </w:t>
      </w:r>
      <w:hyperlink r:id="rId16">
        <w:r>
          <w:rPr>
            <w:rStyle w:val="ListLabel1"/>
            <w:rFonts w:ascii="Times New Roman" w:hAnsi="Times New Roman"/>
            <w:color w:val="0000FF"/>
            <w:sz w:val="24"/>
            <w:szCs w:val="24"/>
          </w:rPr>
          <w:t>пункте 42</w:t>
        </w:r>
      </w:hyperlink>
      <w:r>
        <w:rPr>
          <w:rFonts w:ascii="Times New Roman" w:hAnsi="Times New Roman"/>
          <w:sz w:val="24"/>
          <w:szCs w:val="24"/>
        </w:rPr>
        <w:t>:</w:t>
      </w:r>
    </w:p>
    <w:p>
      <w:pPr>
        <w:pStyle w:val="ConsPlusNormal"/>
        <w:spacing w:before="220" w:after="0"/>
        <w:ind w:firstLine="540"/>
        <w:jc w:val="both"/>
        <w:rPr/>
      </w:pPr>
      <w:hyperlink r:id="rId17">
        <w:r>
          <w:rPr>
            <w:rStyle w:val="ListLabel1"/>
            <w:rFonts w:ascii="Times New Roman" w:hAnsi="Times New Roman"/>
            <w:color w:val="0000FF"/>
            <w:sz w:val="24"/>
            <w:szCs w:val="24"/>
          </w:rPr>
          <w:t>абзац второй</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pPr>
        <w:pStyle w:val="ConsPlusNormal"/>
        <w:spacing w:before="220" w:after="0"/>
        <w:ind w:firstLine="540"/>
        <w:jc w:val="both"/>
        <w:rPr/>
      </w:pPr>
      <w:hyperlink r:id="rId18">
        <w:r>
          <w:rPr>
            <w:rStyle w:val="ListLabel1"/>
            <w:rFonts w:ascii="Times New Roman" w:hAnsi="Times New Roman"/>
            <w:color w:val="0000FF"/>
            <w:sz w:val="24"/>
            <w:szCs w:val="24"/>
          </w:rPr>
          <w:t>абзац четвертый</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pPr>
        <w:pStyle w:val="ConsPlusNormal"/>
        <w:spacing w:before="220" w:after="0"/>
        <w:ind w:firstLine="540"/>
        <w:jc w:val="both"/>
        <w:rPr/>
      </w:pPr>
      <w:hyperlink r:id="rId19">
        <w:r>
          <w:rPr>
            <w:rStyle w:val="ListLabel1"/>
            <w:rFonts w:ascii="Times New Roman" w:hAnsi="Times New Roman"/>
            <w:color w:val="0000FF"/>
            <w:sz w:val="24"/>
            <w:szCs w:val="24"/>
          </w:rPr>
          <w:t>абзацы шестой</w:t>
        </w:r>
      </w:hyperlink>
      <w:r>
        <w:rPr>
          <w:rFonts w:ascii="Times New Roman" w:hAnsi="Times New Roman"/>
          <w:sz w:val="24"/>
          <w:szCs w:val="24"/>
        </w:rPr>
        <w:t xml:space="preserve"> и </w:t>
      </w:r>
      <w:hyperlink r:id="rId20">
        <w:r>
          <w:rPr>
            <w:rStyle w:val="ListLabel1"/>
            <w:rFonts w:ascii="Times New Roman" w:hAnsi="Times New Roman"/>
            <w:color w:val="0000FF"/>
            <w:sz w:val="24"/>
            <w:szCs w:val="24"/>
          </w:rPr>
          <w:t>седьмой</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порядок сообщения о выходе прибора учета (измерительного комплекса, измерительных трансформаторов) из строя и его утрате;";</w:t>
      </w:r>
    </w:p>
    <w:p>
      <w:pPr>
        <w:pStyle w:val="ConsPlusNormal"/>
        <w:spacing w:before="220" w:after="0"/>
        <w:ind w:firstLine="540"/>
        <w:jc w:val="both"/>
        <w:rPr/>
      </w:pPr>
      <w:hyperlink r:id="rId21">
        <w:r>
          <w:rPr>
            <w:rStyle w:val="ListLabel1"/>
            <w:rFonts w:ascii="Times New Roman" w:hAnsi="Times New Roman"/>
            <w:color w:val="0000FF"/>
            <w:sz w:val="24"/>
            <w:szCs w:val="24"/>
          </w:rPr>
          <w:t>абзац восьмой</w:t>
        </w:r>
      </w:hyperlink>
      <w:r>
        <w:rPr>
          <w:rFonts w:ascii="Times New Roman" w:hAnsi="Times New Roman"/>
          <w:sz w:val="24"/>
          <w:szCs w:val="24"/>
        </w:rPr>
        <w:t xml:space="preserve"> признать утратившим силу;</w:t>
      </w:r>
    </w:p>
    <w:p>
      <w:pPr>
        <w:pStyle w:val="ConsPlusNormal"/>
        <w:spacing w:before="220" w:after="0"/>
        <w:ind w:firstLine="540"/>
        <w:jc w:val="both"/>
        <w:rPr/>
      </w:pPr>
      <w:hyperlink r:id="rId22">
        <w:r>
          <w:rPr>
            <w:rStyle w:val="ListLabel1"/>
            <w:rFonts w:ascii="Times New Roman" w:hAnsi="Times New Roman"/>
            <w:color w:val="0000FF"/>
            <w:sz w:val="24"/>
            <w:szCs w:val="24"/>
          </w:rPr>
          <w:t>абзац девятый</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X настоящего документа.";</w:t>
      </w:r>
    </w:p>
    <w:p>
      <w:pPr>
        <w:pStyle w:val="ConsPlusNormal"/>
        <w:spacing w:before="220" w:after="0"/>
        <w:ind w:firstLine="540"/>
        <w:jc w:val="both"/>
        <w:rPr/>
      </w:pPr>
      <w:hyperlink r:id="rId23">
        <w:r>
          <w:rPr>
            <w:rStyle w:val="ListLabel1"/>
            <w:rFonts w:ascii="Times New Roman" w:hAnsi="Times New Roman"/>
            <w:color w:val="0000FF"/>
            <w:sz w:val="24"/>
            <w:szCs w:val="24"/>
          </w:rPr>
          <w:t>абзац одиннадцатый</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разделом X настоящего документа.";</w:t>
      </w:r>
    </w:p>
    <w:p>
      <w:pPr>
        <w:pStyle w:val="ConsPlusNormal"/>
        <w:spacing w:before="220" w:after="0"/>
        <w:ind w:firstLine="540"/>
        <w:jc w:val="both"/>
        <w:rPr/>
      </w:pPr>
      <w:r>
        <w:rPr>
          <w:rFonts w:ascii="Times New Roman" w:hAnsi="Times New Roman"/>
          <w:sz w:val="24"/>
          <w:szCs w:val="24"/>
        </w:rPr>
        <w:t xml:space="preserve">к) </w:t>
      </w:r>
      <w:hyperlink r:id="rId24">
        <w:r>
          <w:rPr>
            <w:rStyle w:val="ListLabel1"/>
            <w:rFonts w:ascii="Times New Roman" w:hAnsi="Times New Roman"/>
            <w:color w:val="0000FF"/>
            <w:sz w:val="24"/>
            <w:szCs w:val="24"/>
          </w:rPr>
          <w:t>абзац восьмой пункта 43</w:t>
        </w:r>
      </w:hyperlink>
      <w:r>
        <w:rPr>
          <w:rFonts w:ascii="Times New Roman" w:hAnsi="Times New Roman"/>
          <w:sz w:val="24"/>
          <w:szCs w:val="24"/>
        </w:rPr>
        <w:t xml:space="preserve"> признать утратившим силу;</w:t>
      </w:r>
    </w:p>
    <w:p>
      <w:pPr>
        <w:pStyle w:val="ConsPlusNormal"/>
        <w:spacing w:before="220" w:after="0"/>
        <w:ind w:firstLine="540"/>
        <w:jc w:val="both"/>
        <w:rPr/>
      </w:pPr>
      <w:r>
        <w:rPr>
          <w:rFonts w:ascii="Times New Roman" w:hAnsi="Times New Roman"/>
          <w:sz w:val="24"/>
          <w:szCs w:val="24"/>
        </w:rPr>
        <w:t xml:space="preserve">л) в </w:t>
      </w:r>
      <w:hyperlink r:id="rId25">
        <w:r>
          <w:rPr>
            <w:rStyle w:val="ListLabel1"/>
            <w:rFonts w:ascii="Times New Roman" w:hAnsi="Times New Roman"/>
            <w:color w:val="0000FF"/>
            <w:sz w:val="24"/>
            <w:szCs w:val="24"/>
          </w:rPr>
          <w:t>абзаце первом пункта 45</w:t>
        </w:r>
      </w:hyperlink>
      <w:r>
        <w:rPr>
          <w:rFonts w:ascii="Times New Roman" w:hAnsi="Times New Roman"/>
          <w:sz w:val="24"/>
          <w:szCs w:val="24"/>
        </w:rPr>
        <w:t xml:space="preserve"> слова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исключить;</w:t>
      </w:r>
    </w:p>
    <w:p>
      <w:pPr>
        <w:pStyle w:val="ConsPlusNormal"/>
        <w:spacing w:before="220" w:after="0"/>
        <w:ind w:firstLine="540"/>
        <w:jc w:val="both"/>
        <w:rPr/>
      </w:pPr>
      <w:r>
        <w:rPr>
          <w:rFonts w:ascii="Times New Roman" w:hAnsi="Times New Roman"/>
          <w:sz w:val="24"/>
          <w:szCs w:val="24"/>
        </w:rPr>
        <w:t xml:space="preserve">м) </w:t>
      </w:r>
      <w:hyperlink r:id="rId26">
        <w:r>
          <w:rPr>
            <w:rStyle w:val="ListLabel1"/>
            <w:rFonts w:ascii="Times New Roman" w:hAnsi="Times New Roman"/>
            <w:color w:val="0000FF"/>
            <w:sz w:val="24"/>
            <w:szCs w:val="24"/>
          </w:rPr>
          <w:t>абзац первый пункта 63</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разделом X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pPr>
        <w:pStyle w:val="ConsPlusNormal"/>
        <w:spacing w:before="220" w:after="0"/>
        <w:ind w:firstLine="540"/>
        <w:jc w:val="both"/>
        <w:rPr/>
      </w:pPr>
      <w:r>
        <w:rPr>
          <w:rFonts w:ascii="Times New Roman" w:hAnsi="Times New Roman"/>
          <w:sz w:val="24"/>
          <w:szCs w:val="24"/>
        </w:rPr>
        <w:t xml:space="preserve">н) </w:t>
      </w:r>
      <w:hyperlink r:id="rId27">
        <w:r>
          <w:rPr>
            <w:rStyle w:val="ListLabel1"/>
            <w:rFonts w:ascii="Times New Roman" w:hAnsi="Times New Roman"/>
            <w:color w:val="0000FF"/>
            <w:sz w:val="24"/>
            <w:szCs w:val="24"/>
          </w:rPr>
          <w:t>абзац одиннадцатый пункта 64</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разделом X настоящего документа;";</w:t>
      </w:r>
    </w:p>
    <w:p>
      <w:pPr>
        <w:pStyle w:val="ConsPlusNormal"/>
        <w:spacing w:before="220" w:after="0"/>
        <w:ind w:firstLine="540"/>
        <w:jc w:val="both"/>
        <w:rPr/>
      </w:pPr>
      <w:r>
        <w:rPr>
          <w:rFonts w:ascii="Times New Roman" w:hAnsi="Times New Roman"/>
          <w:sz w:val="24"/>
          <w:szCs w:val="24"/>
        </w:rPr>
        <w:t xml:space="preserve">о) в </w:t>
      </w:r>
      <w:hyperlink r:id="rId28">
        <w:r>
          <w:rPr>
            <w:rStyle w:val="ListLabel1"/>
            <w:rFonts w:ascii="Times New Roman" w:hAnsi="Times New Roman"/>
            <w:color w:val="0000FF"/>
            <w:sz w:val="24"/>
            <w:szCs w:val="24"/>
          </w:rPr>
          <w:t>абзацах пятом</w:t>
        </w:r>
      </w:hyperlink>
      <w:r>
        <w:rPr>
          <w:rFonts w:ascii="Times New Roman" w:hAnsi="Times New Roman"/>
          <w:sz w:val="24"/>
          <w:szCs w:val="24"/>
        </w:rPr>
        <w:t xml:space="preserve"> и </w:t>
      </w:r>
      <w:hyperlink r:id="rId29">
        <w:r>
          <w:rPr>
            <w:rStyle w:val="ListLabel1"/>
            <w:rFonts w:ascii="Times New Roman" w:hAnsi="Times New Roman"/>
            <w:color w:val="0000FF"/>
            <w:sz w:val="24"/>
            <w:szCs w:val="24"/>
          </w:rPr>
          <w:t>девятом пункта 65</w:t>
        </w:r>
      </w:hyperlink>
      <w:r>
        <w:rPr>
          <w:rFonts w:ascii="Times New Roman" w:hAnsi="Times New Roman"/>
          <w:sz w:val="24"/>
          <w:szCs w:val="24"/>
        </w:rPr>
        <w:t xml:space="preserve"> слова "установленные пунктами 161 и 164 настоящего документа" заменить словами "установленные разделом X настоящего документа";</w:t>
      </w:r>
    </w:p>
    <w:p>
      <w:pPr>
        <w:pStyle w:val="ConsPlusNormal"/>
        <w:spacing w:before="220" w:after="0"/>
        <w:ind w:firstLine="540"/>
        <w:jc w:val="both"/>
        <w:rPr/>
      </w:pPr>
      <w:r>
        <w:rPr>
          <w:rFonts w:ascii="Times New Roman" w:hAnsi="Times New Roman"/>
          <w:sz w:val="24"/>
          <w:szCs w:val="24"/>
        </w:rPr>
        <w:t xml:space="preserve">п) </w:t>
      </w:r>
      <w:hyperlink r:id="rId30">
        <w:r>
          <w:rPr>
            <w:rStyle w:val="ListLabel1"/>
            <w:rFonts w:ascii="Times New Roman" w:hAnsi="Times New Roman"/>
            <w:color w:val="0000FF"/>
            <w:sz w:val="24"/>
            <w:szCs w:val="24"/>
          </w:rPr>
          <w:t>абзац седьмой пункта 65(1)</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разделом X настоящего документа;";</w:t>
      </w:r>
    </w:p>
    <w:p>
      <w:pPr>
        <w:pStyle w:val="ConsPlusNormal"/>
        <w:spacing w:before="220" w:after="0"/>
        <w:ind w:firstLine="540"/>
        <w:jc w:val="both"/>
        <w:rPr/>
      </w:pPr>
      <w:r>
        <w:rPr>
          <w:rFonts w:ascii="Times New Roman" w:hAnsi="Times New Roman"/>
          <w:sz w:val="24"/>
          <w:szCs w:val="24"/>
        </w:rPr>
        <w:t xml:space="preserve">р) </w:t>
      </w:r>
      <w:hyperlink r:id="rId31">
        <w:r>
          <w:rPr>
            <w:rStyle w:val="ListLabel1"/>
            <w:rFonts w:ascii="Times New Roman" w:hAnsi="Times New Roman"/>
            <w:color w:val="0000FF"/>
            <w:sz w:val="24"/>
            <w:szCs w:val="24"/>
          </w:rPr>
          <w:t>пункт 76</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"76. Гарантирующий поставщик не вправе устанавливать в договорах энергоснабжения с гражданами, указанными в пункте 71 настоящего документа, иные требования к приборам учета электрической энергии, кроме требований, предусмотренных разделом X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pPr>
        <w:pStyle w:val="ConsPlusNormal"/>
        <w:spacing w:before="220" w:after="0"/>
        <w:ind w:firstLine="540"/>
        <w:jc w:val="both"/>
        <w:rPr/>
      </w:pPr>
      <w:r>
        <w:rPr>
          <w:rFonts w:ascii="Times New Roman" w:hAnsi="Times New Roman"/>
          <w:sz w:val="24"/>
          <w:szCs w:val="24"/>
        </w:rPr>
        <w:t xml:space="preserve">с) </w:t>
      </w:r>
      <w:hyperlink r:id="rId32">
        <w:r>
          <w:rPr>
            <w:rStyle w:val="ListLabel1"/>
            <w:rFonts w:ascii="Times New Roman" w:hAnsi="Times New Roman"/>
            <w:color w:val="0000FF"/>
            <w:sz w:val="24"/>
            <w:szCs w:val="24"/>
          </w:rPr>
          <w:t>абзац одиннадцатый пункта 85</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"Для осуществления окончательных расчетов за электрическую энергию (мощность) лицо, уполномоченное в соответствии с разделом X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pPr>
        <w:pStyle w:val="ConsPlusNormal"/>
        <w:spacing w:before="220" w:after="0"/>
        <w:ind w:firstLine="540"/>
        <w:jc w:val="both"/>
        <w:rPr/>
      </w:pPr>
      <w:r>
        <w:rPr>
          <w:rFonts w:ascii="Times New Roman" w:hAnsi="Times New Roman"/>
          <w:sz w:val="24"/>
          <w:szCs w:val="24"/>
        </w:rPr>
        <w:t xml:space="preserve">т) </w:t>
      </w:r>
      <w:hyperlink r:id="rId33">
        <w:r>
          <w:rPr>
            <w:rStyle w:val="ListLabel1"/>
            <w:rFonts w:ascii="Times New Roman" w:hAnsi="Times New Roman"/>
            <w:color w:val="0000FF"/>
            <w:sz w:val="24"/>
            <w:szCs w:val="24"/>
          </w:rPr>
          <w:t>абзац двадцать четвертый пункта 88</w:t>
        </w:r>
      </w:hyperlink>
      <w:r>
        <w:rPr>
          <w:rFonts w:ascii="Times New Roman" w:hAnsi="Times New Roman"/>
          <w:sz w:val="24"/>
          <w:szCs w:val="24"/>
        </w:rPr>
        <w:t xml:space="preserve"> признать утратившим силу;</w:t>
      </w:r>
    </w:p>
    <w:p>
      <w:pPr>
        <w:pStyle w:val="ConsPlusNormal"/>
        <w:spacing w:before="220" w:after="0"/>
        <w:ind w:firstLine="540"/>
        <w:jc w:val="both"/>
        <w:rPr/>
      </w:pPr>
      <w:r>
        <w:rPr>
          <w:rFonts w:ascii="Times New Roman" w:hAnsi="Times New Roman"/>
          <w:sz w:val="24"/>
          <w:szCs w:val="24"/>
        </w:rPr>
        <w:t xml:space="preserve">у) в </w:t>
      </w:r>
      <w:hyperlink r:id="rId34">
        <w:r>
          <w:rPr>
            <w:rStyle w:val="ListLabel1"/>
            <w:rFonts w:ascii="Times New Roman" w:hAnsi="Times New Roman"/>
            <w:color w:val="0000FF"/>
            <w:sz w:val="24"/>
            <w:szCs w:val="24"/>
          </w:rPr>
          <w:t>абзаце пятом пункта 113</w:t>
        </w:r>
      </w:hyperlink>
      <w:r>
        <w:rPr>
          <w:rFonts w:ascii="Times New Roman" w:hAnsi="Times New Roman"/>
          <w:sz w:val="24"/>
          <w:szCs w:val="24"/>
        </w:rPr>
        <w:t xml:space="preserve"> слова "в пункте 164" заменить словами "в разделе X";</w:t>
      </w:r>
    </w:p>
    <w:p>
      <w:pPr>
        <w:pStyle w:val="ConsPlusNormal"/>
        <w:spacing w:before="220" w:after="0"/>
        <w:ind w:firstLine="540"/>
        <w:jc w:val="both"/>
        <w:rPr/>
      </w:pPr>
      <w:r>
        <w:rPr>
          <w:rFonts w:ascii="Times New Roman" w:hAnsi="Times New Roman"/>
          <w:sz w:val="24"/>
          <w:szCs w:val="24"/>
        </w:rPr>
        <w:t xml:space="preserve">ф) в </w:t>
      </w:r>
      <w:hyperlink r:id="rId35">
        <w:r>
          <w:rPr>
            <w:rStyle w:val="ListLabel1"/>
            <w:rFonts w:ascii="Times New Roman" w:hAnsi="Times New Roman"/>
            <w:color w:val="0000FF"/>
            <w:sz w:val="24"/>
            <w:szCs w:val="24"/>
          </w:rPr>
          <w:t>пункте 119</w:t>
        </w:r>
      </w:hyperlink>
      <w:r>
        <w:rPr>
          <w:rFonts w:ascii="Times New Roman" w:hAnsi="Times New Roman"/>
          <w:sz w:val="24"/>
          <w:szCs w:val="24"/>
        </w:rPr>
        <w:t xml:space="preserve"> слова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исключить;</w:t>
      </w:r>
    </w:p>
    <w:p>
      <w:pPr>
        <w:pStyle w:val="ConsPlusNormal"/>
        <w:spacing w:before="220" w:after="0"/>
        <w:ind w:firstLine="540"/>
        <w:jc w:val="both"/>
        <w:rPr/>
      </w:pPr>
      <w:r>
        <w:rPr>
          <w:rFonts w:ascii="Times New Roman" w:hAnsi="Times New Roman"/>
          <w:sz w:val="24"/>
          <w:szCs w:val="24"/>
        </w:rPr>
        <w:t xml:space="preserve">х) </w:t>
      </w:r>
      <w:hyperlink r:id="rId36">
        <w:r>
          <w:rPr>
            <w:rStyle w:val="ListLabel1"/>
            <w:rFonts w:ascii="Times New Roman" w:hAnsi="Times New Roman"/>
            <w:color w:val="0000FF"/>
            <w:sz w:val="24"/>
            <w:szCs w:val="24"/>
          </w:rPr>
          <w:t>абзац второй пункта 129</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разделом X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определение объемов потребления электрической энергии осуществляется в соответствии с разделом X настоящего документа.";</w:t>
      </w:r>
    </w:p>
    <w:p>
      <w:pPr>
        <w:pStyle w:val="ConsPlusNormal"/>
        <w:spacing w:before="220" w:after="0"/>
        <w:ind w:firstLine="540"/>
        <w:jc w:val="both"/>
        <w:rPr/>
      </w:pPr>
      <w:r>
        <w:rPr>
          <w:rFonts w:ascii="Times New Roman" w:hAnsi="Times New Roman"/>
          <w:sz w:val="24"/>
          <w:szCs w:val="24"/>
        </w:rPr>
        <w:t xml:space="preserve">ц) </w:t>
      </w:r>
      <w:hyperlink r:id="rId37">
        <w:r>
          <w:rPr>
            <w:rStyle w:val="ListLabel1"/>
            <w:rFonts w:ascii="Times New Roman" w:hAnsi="Times New Roman"/>
            <w:color w:val="0000FF"/>
            <w:sz w:val="24"/>
            <w:szCs w:val="24"/>
          </w:rPr>
          <w:t>раздел X</w:t>
        </w:r>
      </w:hyperlink>
      <w:r>
        <w:rPr>
          <w:rFonts w:ascii="Times New Roman" w:hAnsi="Times New Roman"/>
          <w:sz w:val="24"/>
          <w:szCs w:val="24"/>
        </w:rPr>
        <w:t xml:space="preserve"> изложить в следующей редакции:</w:t>
      </w:r>
    </w:p>
    <w:p>
      <w:pPr>
        <w:pStyle w:val="ConsPlusNormal"/>
        <w:jc w:val="center"/>
        <w:rPr>
          <w:rFonts w:ascii="Times New Roman" w:hAnsi="Times New Roman"/>
          <w:sz w:val="24"/>
          <w:szCs w:val="24"/>
        </w:rPr>
      </w:pPr>
      <w:r>
        <w:rPr>
          <w:rFonts w:ascii="Times New Roman" w:hAnsi="Times New Roman"/>
          <w:sz w:val="24"/>
          <w:szCs w:val="24"/>
        </w:rPr>
      </w:r>
    </w:p>
    <w:p>
      <w:pPr>
        <w:pStyle w:val="ConsPlusNormal"/>
        <w:jc w:val="center"/>
        <w:rPr>
          <w:rFonts w:ascii="Times New Roman" w:hAnsi="Times New Roman"/>
          <w:sz w:val="24"/>
          <w:szCs w:val="24"/>
        </w:rPr>
      </w:pPr>
      <w:r>
        <w:rPr>
          <w:rFonts w:ascii="Times New Roman" w:hAnsi="Times New Roman"/>
          <w:sz w:val="24"/>
          <w:szCs w:val="24"/>
        </w:rPr>
        <w:t>"X. Правила организации учета электрической энергии</w:t>
      </w:r>
    </w:p>
    <w:p>
      <w:pPr>
        <w:pStyle w:val="ConsPlusNormal"/>
        <w:jc w:val="center"/>
        <w:rPr>
          <w:rFonts w:ascii="Times New Roman" w:hAnsi="Times New Roman"/>
          <w:sz w:val="24"/>
          <w:szCs w:val="24"/>
        </w:rPr>
      </w:pPr>
      <w:r>
        <w:rPr>
          <w:rFonts w:ascii="Times New Roman" w:hAnsi="Times New Roman"/>
          <w:sz w:val="24"/>
          <w:szCs w:val="24"/>
        </w:rPr>
        <w:t>на розничных рынках</w:t>
      </w:r>
    </w:p>
    <w:p>
      <w:pPr>
        <w:pStyle w:val="ConsPlusNormal"/>
        <w:jc w:val="center"/>
        <w:rPr>
          <w:rFonts w:ascii="Times New Roman" w:hAnsi="Times New Roman"/>
          <w:sz w:val="24"/>
          <w:szCs w:val="24"/>
        </w:rPr>
      </w:pPr>
      <w:r>
        <w:rPr>
          <w:rFonts w:ascii="Times New Roman" w:hAnsi="Times New Roman"/>
          <w:sz w:val="24"/>
          <w:szCs w:val="24"/>
        </w:rPr>
      </w:r>
    </w:p>
    <w:p>
      <w:pPr>
        <w:pStyle w:val="ConsPlusNormal"/>
        <w:ind w:firstLine="540"/>
        <w:jc w:val="both"/>
        <w:rPr>
          <w:rFonts w:ascii="Times New Roman" w:hAnsi="Times New Roman"/>
          <w:sz w:val="24"/>
          <w:szCs w:val="24"/>
        </w:rPr>
      </w:pPr>
      <w:r>
        <w:rPr>
          <w:rFonts w:ascii="Times New Roman" w:hAnsi="Times New Roman"/>
          <w:sz w:val="24"/>
          <w:szCs w:val="24"/>
        </w:rP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pPr>
        <w:pStyle w:val="ConsPlusNormal"/>
        <w:spacing w:before="220" w:after="0"/>
        <w:ind w:firstLine="540"/>
        <w:jc w:val="both"/>
        <w:rPr/>
      </w:pPr>
      <w:r>
        <w:rPr>
          <w:rFonts w:ascii="Times New Roman" w:hAnsi="Times New Roman"/>
          <w:sz w:val="24"/>
          <w:szCs w:val="24"/>
        </w:rP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38">
        <w:r>
          <w:rPr>
            <w:rStyle w:val="ListLabel1"/>
            <w:rFonts w:ascii="Times New Roman" w:hAnsi="Times New Roman"/>
            <w:color w:val="0000FF"/>
            <w:sz w:val="24"/>
            <w:szCs w:val="24"/>
          </w:rPr>
          <w:t>законом</w:t>
        </w:r>
      </w:hyperlink>
      <w:r>
        <w:rPr>
          <w:rFonts w:ascii="Times New Roman" w:hAnsi="Times New Roman"/>
          <w:sz w:val="24"/>
          <w:szCs w:val="24"/>
        </w:rP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137. В состав иного оборудования, которое используется для коммерческого учета электрической энергии (мощности), входят:</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измерительные трансформаторы;</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коммутационное оборудование и оборудование защиты прибора учета от токов короткого замыкания;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материалы и оборудование для монтажа прибора учета (измерительного комплекса) в месте его установки;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материалы и оборудование для организации вторичных цепей измерительного комплекса;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pPr>
        <w:pStyle w:val="ConsPlusNormal"/>
        <w:spacing w:before="220" w:after="0"/>
        <w:ind w:firstLine="540"/>
        <w:jc w:val="both"/>
        <w:rPr/>
      </w:pPr>
      <w:r>
        <w:rPr>
          <w:rFonts w:ascii="Times New Roman" w:hAnsi="Times New Roman"/>
          <w:sz w:val="24"/>
          <w:szCs w:val="24"/>
        </w:rP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39">
        <w:r>
          <w:rPr>
            <w:rStyle w:val="ListLabel1"/>
            <w:rFonts w:ascii="Times New Roman" w:hAnsi="Times New Roman"/>
            <w:color w:val="0000FF"/>
            <w:sz w:val="24"/>
            <w:szCs w:val="24"/>
          </w:rPr>
          <w:t>Правилами</w:t>
        </w:r>
      </w:hyperlink>
      <w:r>
        <w:rPr>
          <w:rFonts w:ascii="Times New Roman" w:hAnsi="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pPr>
        <w:pStyle w:val="ConsPlusNormal"/>
        <w:spacing w:before="220" w:after="0"/>
        <w:ind w:firstLine="540"/>
        <w:jc w:val="both"/>
        <w:rPr/>
      </w:pPr>
      <w:r>
        <w:rPr>
          <w:rFonts w:ascii="Times New Roman" w:hAnsi="Times New Roman"/>
          <w:sz w:val="24"/>
          <w:szCs w:val="24"/>
        </w:rP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40">
        <w:r>
          <w:rPr>
            <w:rStyle w:val="ListLabel1"/>
            <w:rFonts w:ascii="Times New Roman" w:hAnsi="Times New Roman"/>
            <w:color w:val="0000FF"/>
            <w:sz w:val="24"/>
            <w:szCs w:val="24"/>
          </w:rPr>
          <w:t>Правилами</w:t>
        </w:r>
      </w:hyperlink>
      <w:r>
        <w:rPr>
          <w:rFonts w:ascii="Times New Roman" w:hAnsi="Times New Roman"/>
          <w:sz w:val="24"/>
          <w:szCs w:val="24"/>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приложением N 3.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pPr>
        <w:pStyle w:val="ConsPlusNormal"/>
        <w:spacing w:before="220" w:after="0"/>
        <w:ind w:firstLine="540"/>
        <w:jc w:val="both"/>
        <w:rPr/>
      </w:pPr>
      <w:r>
        <w:rPr>
          <w:rFonts w:ascii="Times New Roman" w:hAnsi="Times New Roman"/>
          <w:sz w:val="24"/>
          <w:szCs w:val="24"/>
        </w:rP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w:t>
      </w:r>
      <w:hyperlink r:id="rId41">
        <w:r>
          <w:rPr>
            <w:rStyle w:val="ListLabel1"/>
            <w:rFonts w:ascii="Times New Roman" w:hAnsi="Times New Roman"/>
            <w:color w:val="0000FF"/>
            <w:sz w:val="24"/>
            <w:szCs w:val="24"/>
          </w:rPr>
          <w:t>пунктом 1 статьи 21</w:t>
        </w:r>
      </w:hyperlink>
      <w:r>
        <w:rPr>
          <w:rFonts w:ascii="Times New Roman" w:hAnsi="Times New Roman"/>
          <w:sz w:val="24"/>
          <w:szCs w:val="24"/>
        </w:rP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(мощности).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пункте 136 настоящего документа. Такой прибор учета становится расчетным прибором учета с даты допуска его в эксплуатацию;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pPr>
        <w:pStyle w:val="ConsPlusNormal"/>
        <w:spacing w:before="220" w:after="0"/>
        <w:ind w:firstLine="540"/>
        <w:jc w:val="both"/>
        <w:rPr/>
      </w:pPr>
      <w:r>
        <w:rPr>
          <w:rFonts w:ascii="Times New Roman" w:hAnsi="Times New Roman"/>
          <w:sz w:val="24"/>
          <w:szCs w:val="24"/>
        </w:rP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w:t>
      </w:r>
      <w:hyperlink r:id="rId42">
        <w:r>
          <w:rPr>
            <w:rStyle w:val="ListLabel1"/>
            <w:rFonts w:ascii="Times New Roman" w:hAnsi="Times New Roman"/>
            <w:color w:val="0000FF"/>
            <w:sz w:val="24"/>
            <w:szCs w:val="24"/>
          </w:rPr>
          <w:t>Правил</w:t>
        </w:r>
      </w:hyperlink>
      <w:r>
        <w:rPr>
          <w:rFonts w:ascii="Times New Roman" w:hAnsi="Times New Roman"/>
          <w:sz w:val="24"/>
          <w:szCs w:val="24"/>
        </w:rPr>
        <w:t xml:space="preserve"> оптового рынка для субъектов оптового рынка.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Реализация обязанностей сетевой организации, предусмотренных пунктом 136 настоящего документа, в отношении точек поставки, входящих в состав групп точек поставки на оптовом рынке, осуществляется не ранее получения уведомления от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 осуществляющих куплю-продажу электрической энергии (мощности) по соответствующей точке поставки на розничном рынке 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настоящим разделом.</w:t>
      </w:r>
    </w:p>
    <w:p>
      <w:pPr>
        <w:pStyle w:val="ConsPlusNormal"/>
        <w:spacing w:before="220" w:after="0"/>
        <w:ind w:firstLine="540"/>
        <w:jc w:val="both"/>
        <w:rPr/>
      </w:pPr>
      <w:r>
        <w:rPr>
          <w:rFonts w:ascii="Times New Roman" w:hAnsi="Times New Roman"/>
          <w:sz w:val="24"/>
          <w:szCs w:val="24"/>
        </w:rP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3">
        <w:r>
          <w:rPr>
            <w:rStyle w:val="ListLabel1"/>
            <w:rFonts w:ascii="Times New Roman" w:hAnsi="Times New Roman"/>
            <w:color w:val="0000FF"/>
            <w:sz w:val="24"/>
            <w:szCs w:val="24"/>
          </w:rPr>
          <w:t>Правилами</w:t>
        </w:r>
      </w:hyperlink>
      <w:r>
        <w:rPr>
          <w:rFonts w:ascii="Times New Roman" w:hAnsi="Times New Roman"/>
          <w:sz w:val="24"/>
          <w:szCs w:val="24"/>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pPr>
        <w:pStyle w:val="ConsPlusNormal"/>
        <w:spacing w:before="220" w:after="0"/>
        <w:ind w:firstLine="540"/>
        <w:jc w:val="both"/>
        <w:rPr/>
      </w:pPr>
      <w:r>
        <w:rPr>
          <w:rFonts w:ascii="Times New Roman" w:hAnsi="Times New Roman"/>
          <w:sz w:val="24"/>
          <w:szCs w:val="24"/>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4">
        <w:r>
          <w:rPr>
            <w:rStyle w:val="ListLabel1"/>
            <w:rFonts w:ascii="Times New Roman" w:hAnsi="Times New Roman"/>
            <w:color w:val="0000FF"/>
            <w:sz w:val="24"/>
            <w:szCs w:val="24"/>
          </w:rPr>
          <w:t>Правилами</w:t>
        </w:r>
      </w:hyperlink>
      <w:r>
        <w:rPr>
          <w:rFonts w:ascii="Times New Roman" w:hAnsi="Times New Roman"/>
          <w:sz w:val="24"/>
          <w:szCs w:val="24"/>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pPr>
        <w:pStyle w:val="ConsPlusNormal"/>
        <w:spacing w:before="220" w:after="0"/>
        <w:ind w:firstLine="540"/>
        <w:jc w:val="both"/>
        <w:rPr/>
      </w:pPr>
      <w:r>
        <w:rPr>
          <w:rFonts w:ascii="Times New Roman" w:hAnsi="Times New Roman"/>
          <w:sz w:val="24"/>
          <w:szCs w:val="24"/>
        </w:rP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45">
        <w:r>
          <w:rPr>
            <w:rStyle w:val="ListLabel1"/>
            <w:rFonts w:ascii="Times New Roman" w:hAnsi="Times New Roman"/>
            <w:color w:val="0000FF"/>
            <w:sz w:val="24"/>
            <w:szCs w:val="24"/>
          </w:rPr>
          <w:t>Правилами</w:t>
        </w:r>
      </w:hyperlink>
      <w:r>
        <w:rPr>
          <w:rFonts w:ascii="Times New Roman" w:hAnsi="Times New Roman"/>
          <w:sz w:val="24"/>
          <w:szCs w:val="24"/>
        </w:rPr>
        <w:t xml:space="preserve"> технологического присоединения.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Для учета объемов производства электрической энергии производителями электрической энергии (мощности) на розничных рынках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При этом 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Техническая возможность установки прибора учета отсутствует, если выполняется хотя бы одно из следующих условий: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Условия отсутствия технической возможности установки прибора учета не применяются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пунктом 136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150. Многоквартирные дома, вводимые в эксплуатацию с 1 января 2021 г. после осуществления строительства, должны быть оснащены индивидуальными (общими для коммунальной квартиры) приборами учета электрической энергии в жилых и нежилых помещениях многоквартирного дома, коллективными (общедомовыми) приборами учета и при необходимости измерительными трансформаторами,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 Указанные приборы учета (измерительные трансформаторы) должны быть допущены в эксплуатацию, а также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Установка (замена) прибора учета электрической энергии и допуск в эксплуатацию прибора учета электрической энергии должны быть осуществлены не позднее 6 месяцев: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 даты признания прибора учета утраченным.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Гарантирующий поставщик в случае неисполнения или ненадлежащего исполнения указанных обязанностей по установке, замене и допуску в эксплуатацию коллективного (общедомового) прибора учета обязан ежемесячно уплачивать сетевой организации неустойку в размере 50 процентов стоимости услуг по передаче электрической энергии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с момента истечения указанного в настоящем пункте срока, в течение которого должен быть установлен и введен в эксплуатацию коллективный (общедомовой) прибор учета, до даты ввода прибора учета в эксплуатацию.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коллективный (общедомовой) прибор учета не будет установлен гарантирующим поставщиком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 в объеме потребления электрической энергии на общедомовые нужды. Указанная неустойка учитывается при определении стоимости услуг по передаче в отношении соответствующей точки поставки за соответствующий расчетный период.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позволяющим подтвердить факт получения такого запроса, в адрес следующих организаций (лиц):</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сетевая организация, к объектам электросетевого хозяйства которой присоединен многоквартирный жилой дом.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таком запросе на установку (замену) прибора учета должны быть указаны:</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информация о приборе учета и (или) об ином оборудовании, которые предполагается установить и заменить;</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подтвержденные дату и время сетевая организация, гарантирующий поставщик осуществляют действия по установке (замене)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пунктом 182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152. В случаях, предусмотренных пунктом 145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гарантирующий поставщик;</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таком запросе на установку (замену) прибора учета должны быть указаны:</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номер договора энергоснабжения (купли-продажи (поставки) электрической энергии (мощности), оказания услуг по передаче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информация о приборе учета и (или) об ином оборудовании, которые предполагается установить и заменить;</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Сетевая организация вправе отказать в согласовании мест установки, схемы в следующих случаях:</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иным компонентам измерительных комплексов и систем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153. Допуск в эксплуатацию прибора учета осуществляется в порядке, предусмотренном настоящим пунктом. Процедура допуска в эксплуатацию прибора учета не требуется в случае, если в рамках процедуры установки (замены) прибора учета сохраняются контрольные пломбы и знаки визуального контроля, установленные ранее при допуске в эксплуатацию соответствующего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пункте 151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пункте 151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в эксплуатацию приборов учета электрической энергии, установленных в процессе технологического присоединения, осуществляется сетевой организацией одновременно с осмотром присоединяемых электроустановок заявителя, предусмотренным Правилами технологического присоединения.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Для допуска в эксплуатацию установленного в процессе технологического присоединения прибора учета сетевая организация, если иное не установлено Правилами технологического присоединения, обязана за 3 календарных дня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Контрольная пломба и (или) знаки визуального контроля устанавливаются организацией, осуществляющей допуск в эксплуатацию прибора учета.</w:t>
      </w:r>
    </w:p>
    <w:p>
      <w:pPr>
        <w:pStyle w:val="ConsPlusNormal"/>
        <w:spacing w:before="220" w:after="0"/>
        <w:ind w:firstLine="540"/>
        <w:jc w:val="both"/>
        <w:rPr/>
      </w:pPr>
      <w:r>
        <w:rPr>
          <w:rFonts w:ascii="Times New Roman" w:hAnsi="Times New Roman"/>
          <w:sz w:val="24"/>
          <w:szCs w:val="24"/>
        </w:rP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46">
        <w:r>
          <w:rPr>
            <w:rStyle w:val="ListLabel1"/>
            <w:rFonts w:ascii="Times New Roman" w:hAnsi="Times New Roman"/>
            <w:color w:val="0000FF"/>
            <w:sz w:val="24"/>
            <w:szCs w:val="24"/>
          </w:rPr>
          <w:t>приложением N 16</w:t>
        </w:r>
      </w:hyperlink>
      <w:r>
        <w:rPr>
          <w:rFonts w:ascii="Times New Roman" w:hAnsi="Times New Roman"/>
          <w:sz w:val="24"/>
          <w:szCs w:val="24"/>
        </w:rPr>
        <w:t xml:space="preserve"> к Правилам технологического присоединения.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составлении акта допуска прибора учета электрической энергии в эксплуатацию в разделе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пунктом 153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Лица, которые в соответствии с пунктом 153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пунктом 179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155. Лицами, ответственными за снятие показаний расчетного прибора учета, являются: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соглашении о порядке информационного обмена показаниями содержатся: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описание схемы сбора и передачи информации;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перечни точек, в отношении которых осуществляется обмен информацией;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формат и условия обмена информацией, в том числе порядок обмена информацией в случае выявления неисправностей в каналах связи;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сведения о лице, ответственном за обслуживание приборов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отношении коллективных (общедомовых) приборов учета и приборов учета, установленных в отношении жилых домов, - до окончания 26-го дня расчетного месяца;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отношении расчетных приборов учета, не присоединенных к интеллектуальным системам учета электрической энергии (мощности), показания представляются в течение последующих 3 рабочих дней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в письменной форме или в виде электронного документа, подписанного электронной подписью, - акта снятия показаний расчетных приборов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пункте 159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пункте 159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Передаваемые данные должны содержать следующую информацию: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почасовые объемы производства электрической энергии, определенные исходя из показаний расчетных (контрольных) приборов учета, расположенных в местах присоединения объекта по производству электрической энергии (мощности) к энергопринимающим устройствам и (или) иным объектам электроэнергетики такого производителя;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пунктом 147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pPr>
        <w:pStyle w:val="ConsPlusNormal"/>
        <w:spacing w:before="220" w:after="0"/>
        <w:ind w:firstLine="540"/>
        <w:jc w:val="both"/>
        <w:rPr/>
      </w:pPr>
      <w:r>
        <w:rPr>
          <w:rFonts w:ascii="Times New Roman" w:hAnsi="Times New Roman"/>
          <w:sz w:val="24"/>
          <w:szCs w:val="24"/>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7">
        <w:r>
          <w:rPr>
            <w:rStyle w:val="ListLabel1"/>
            <w:rFonts w:ascii="Times New Roman" w:hAnsi="Times New Roman"/>
            <w:color w:val="0000FF"/>
            <w:sz w:val="24"/>
            <w:szCs w:val="24"/>
          </w:rPr>
          <w:t>Правилами</w:t>
        </w:r>
      </w:hyperlink>
      <w:r>
        <w:rPr>
          <w:rFonts w:ascii="Times New Roman" w:hAnsi="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pPr>
        <w:pStyle w:val="ConsPlusNormal"/>
        <w:spacing w:before="220" w:after="0"/>
        <w:ind w:firstLine="540"/>
        <w:jc w:val="both"/>
        <w:rPr/>
      </w:pPr>
      <w:r>
        <w:rPr>
          <w:rFonts w:ascii="Times New Roman" w:hAnsi="Times New Roman"/>
          <w:sz w:val="24"/>
          <w:szCs w:val="24"/>
        </w:rP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8">
        <w:r>
          <w:rPr>
            <w:rStyle w:val="ListLabel1"/>
            <w:rFonts w:ascii="Times New Roman" w:hAnsi="Times New Roman"/>
            <w:color w:val="0000FF"/>
            <w:sz w:val="24"/>
            <w:szCs w:val="24"/>
          </w:rPr>
          <w:t>Правилами</w:t>
        </w:r>
      </w:hyperlink>
      <w:r>
        <w:rPr>
          <w:rFonts w:ascii="Times New Roman" w:hAnsi="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пунктами 164 и 179 - 181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165. Сетевая организация в случае неисполнения или ненадлежащего исполнения обязанностей по предоставлению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обязана начиная с седьмого расчетного периода, за который не представлены показания, уплачивать другой стороне договора, в отношении которой нарушены соответствующие обязанности, неустойку в размере 50 процентов стоимости услуг по передаче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Указанная неустойка учитывается при определении стоимости услуг по договору на оказание услуг по передаче электрической энергии начиная с расчетного периода, в котором получена претензия о неисполнении соответствующих обязанностей. В случае заключения потребителем электрической энергии договора энергоснабжения гарантирующий поставщик (энергосбытовая, энергоснабжающая организация)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Гарантирующий поставщик в случае неисполнения или ненадлежащего исполнения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начиная с 7-го расчетного периода, за который не представлены показания, уплачивает сетевой организации неустойку по договору в размере 50 процентов стоимости услуг по передаче по соответствующей точке поставки в объеме потребления электрической энергии на общедомовые нужды, определенном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 за каждый месяц вплоть до начала предоставления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Указанная неустойка учитывается при определении стоимости услуг по передаче в отношении соответствующей точки поставки.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пунктом 182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170. Проверки расчетных приборов учета осуществляются в плановом и внеплановом порядке.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пунктами 171 - 176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Основаниями для проведения внеплановой проверки приборов учета являются: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отсутствие показаний расчетного прибора учета 2 и более расчетных периодов подряд.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172. Сетевая организация (гарантирующий поставщик) в случаях, предусмотренных пунктом 170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акте проверки расчетного прибора учета должны быть указаны:</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дата, время и адрес проведения проверки, форма проверки и основание для проведения проверки;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лица, принявшие участие в проверке;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лица, приглашенные в соответствии с требованиями настоящего документа для участия в проверке, но не принявшие в ней участие;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результат проверки;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характеристики используемого при проведении проверки оборудования, в случае если проводится инструментальная проверка;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пунктом 182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пунктом 173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Порядок уведомления смежной сетевой организации о планируемой проверке определяется аналогично порядку, предусмотренному пунктом 174 настоящего документа в отношении потребителя (производителя электрической энергии (мощности) на розничном рынке).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Акт проверки приборов учета смежной сетевой организации является основанием для применения замещающей информации и расчетных способов, предусмотренных пунктами 179, 180 и 184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лица, осуществившего бездоговорное потребление.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данные о лице, осуществляющем безучетное потребление или бездоговорное потребление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данные о способе и месте осуществления безучетного потребления или бездоговорного потребления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данные о приборах учета на момент составления акта;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объяснение лица, осуществляющего безучетное или бездоговорное потребление электрической энергии, относительно выявленного факта;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замечания к составленному акту (при их наличии).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величина максимальной мощности энергопринимающих устройств потребителя, указанная в документах о технологическом присоединении;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фактическая мощность энергопринимающих устройств, используемая потребителем;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данные о лице, осуществляющем бездоговорное потребление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дата введения полного ограничения режима потребления;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дата предыдущей проверки введенного ограничения режима потребления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данные о способе и месте осуществления бездоговорного потребления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замечания к составленному акту (при их наличии).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 факту выявленного безучетного потребления расчетный прибор учета признается вышедшим из строя.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для 1-го и последующих часов первого расчетного периода определяется с использованием замещающей информации;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пунктом 164 настоящего документа, а при его отсутствии - исходя из увеличенных в 1,5 раза значений, определенных на основании замещающей информации.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пунктами 179 - 181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для 1-го и последующих часов первого расчетного периода определяется с использованием замещающей информации;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186. Расчет объема безучетного потребления или бездоговорного потребления электрической энергии осуществляется сетевой организацией в соответствии с пунктом 187 или 189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пунктом 177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подпунктом "а" пункта 1 приложения N 3 к настоящему документу.</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w:t>
      </w:r>
    </w:p>
    <w:p>
      <w:pPr>
        <w:pStyle w:val="ConsPlusNormal"/>
        <w:spacing w:before="220" w:after="0"/>
        <w:ind w:firstLine="540"/>
        <w:jc w:val="both"/>
        <w:rPr/>
      </w:pPr>
      <w:r>
        <w:rPr>
          <w:rFonts w:ascii="Times New Roman" w:hAnsi="Times New Roman"/>
          <w:sz w:val="24"/>
          <w:szCs w:val="24"/>
        </w:rPr>
        <w:t xml:space="preserve">Объем безучетного потребления в отношении населения определяется в порядке, предусмотренном </w:t>
      </w:r>
      <w:hyperlink r:id="rId49">
        <w:r>
          <w:rPr>
            <w:rStyle w:val="ListLabel1"/>
            <w:rFonts w:ascii="Times New Roman" w:hAnsi="Times New Roman"/>
            <w:color w:val="0000FF"/>
            <w:sz w:val="24"/>
            <w:szCs w:val="24"/>
          </w:rPr>
          <w:t>Правилами</w:t>
        </w:r>
      </w:hyperlink>
      <w:r>
        <w:rPr>
          <w:rFonts w:ascii="Times New Roman" w:hAnsi="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к настоящему документу.</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пункта 179 настоящего документа к расчету объемов потребления электрической энергии (мощности) для случая непредоставления показаний прибора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пунктами 179 - 181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189.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разделе IV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пунктом 177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объем электрической энергии, переданной в принадлежащие им объекты электросетевого хозяйства;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фактические потери электрической энергии в объектах электросетевого хозяйства этих сетевых организаций.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191. Каждая сетевая организация за расчетный период составляет баланс электрической энергии, который содержит показатели, указанные в пункте 190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пункте 58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пунктом 195 настоящего документа.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195. Гарантирующий поставщик (энергосбытовая, энергоснабжающая организация, указанная в пункте 58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для сетевой организации, указанной в абзаце первом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пункте 58 настоящего документа) при распределении объема электрической энергии, определенного в соответствии с абзацем первым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пункте 58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абзаце первом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пункте 58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пункте 58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пункте 58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 запросу гарантирующего поставщика (энергосбытовой, энергоснабжающей организации, указанной в пункте 58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пункте 58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пункте 58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196. При переходе на обслуживание к гарантирующему поставщику в случае, указанном в пункте 58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пункте 58 настоящего документа, и гарантирующим поставщиком.</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pPr>
        <w:pStyle w:val="ConsPlusNormal"/>
        <w:ind w:firstLine="540"/>
        <w:jc w:val="both"/>
        <w:rPr>
          <w:rFonts w:ascii="Times New Roman" w:hAnsi="Times New Roman"/>
          <w:sz w:val="24"/>
          <w:szCs w:val="24"/>
        </w:rPr>
      </w:pPr>
      <w:r>
        <w:rPr>
          <w:rFonts w:ascii="Times New Roman" w:hAnsi="Times New Roman"/>
          <w:sz w:val="24"/>
          <w:szCs w:val="24"/>
        </w:rPr>
      </w:r>
    </w:p>
    <w:p>
      <w:pPr>
        <w:pStyle w:val="ConsPlusNormal"/>
        <w:ind w:firstLine="540"/>
        <w:jc w:val="both"/>
        <w:rPr/>
      </w:pPr>
      <w:r>
        <w:rPr>
          <w:rFonts w:ascii="Times New Roman" w:hAnsi="Times New Roman"/>
          <w:sz w:val="24"/>
          <w:szCs w:val="24"/>
        </w:rPr>
        <w:t xml:space="preserve">ч) в </w:t>
      </w:r>
      <w:hyperlink r:id="rId50">
        <w:r>
          <w:rPr>
            <w:rStyle w:val="ListLabel1"/>
            <w:rFonts w:ascii="Times New Roman" w:hAnsi="Times New Roman"/>
            <w:color w:val="0000FF"/>
            <w:sz w:val="24"/>
            <w:szCs w:val="24"/>
          </w:rPr>
          <w:t>приложении N 3</w:t>
        </w:r>
      </w:hyperlink>
      <w:r>
        <w:rPr>
          <w:rFonts w:ascii="Times New Roman" w:hAnsi="Times New Roman"/>
          <w:sz w:val="24"/>
          <w:szCs w:val="24"/>
        </w:rPr>
        <w:t xml:space="preserve"> к указанному документу:</w:t>
      </w:r>
    </w:p>
    <w:p>
      <w:pPr>
        <w:pStyle w:val="ConsPlusNormal"/>
        <w:spacing w:before="220" w:after="0"/>
        <w:ind w:firstLine="540"/>
        <w:jc w:val="both"/>
        <w:rPr/>
      </w:pPr>
      <w:r>
        <w:rPr>
          <w:rFonts w:ascii="Times New Roman" w:hAnsi="Times New Roman"/>
          <w:sz w:val="24"/>
          <w:szCs w:val="24"/>
        </w:rPr>
        <w:t xml:space="preserve">в </w:t>
      </w:r>
      <w:hyperlink r:id="rId51">
        <w:r>
          <w:rPr>
            <w:rStyle w:val="ListLabel1"/>
            <w:rFonts w:ascii="Times New Roman" w:hAnsi="Times New Roman"/>
            <w:color w:val="0000FF"/>
            <w:sz w:val="24"/>
            <w:szCs w:val="24"/>
          </w:rPr>
          <w:t>пункте 1</w:t>
        </w:r>
      </w:hyperlink>
      <w:r>
        <w:rPr>
          <w:rFonts w:ascii="Times New Roman" w:hAnsi="Times New Roman"/>
          <w:sz w:val="24"/>
          <w:szCs w:val="24"/>
        </w:rPr>
        <w:t>:</w:t>
      </w:r>
    </w:p>
    <w:p>
      <w:pPr>
        <w:pStyle w:val="ConsPlusNormal"/>
        <w:spacing w:before="220" w:after="0"/>
        <w:ind w:firstLine="540"/>
        <w:jc w:val="both"/>
        <w:rPr/>
      </w:pPr>
      <w:r>
        <w:rPr>
          <w:rFonts w:ascii="Times New Roman" w:hAnsi="Times New Roman"/>
          <w:sz w:val="24"/>
          <w:szCs w:val="24"/>
        </w:rPr>
        <w:t xml:space="preserve">в </w:t>
      </w:r>
      <w:hyperlink r:id="rId52">
        <w:r>
          <w:rPr>
            <w:rStyle w:val="ListLabel1"/>
            <w:rFonts w:ascii="Times New Roman" w:hAnsi="Times New Roman"/>
            <w:color w:val="0000FF"/>
            <w:sz w:val="24"/>
            <w:szCs w:val="24"/>
          </w:rPr>
          <w:t>абзаце первом</w:t>
        </w:r>
      </w:hyperlink>
      <w:r>
        <w:rPr>
          <w:rFonts w:ascii="Times New Roman" w:hAnsi="Times New Roman"/>
          <w:sz w:val="24"/>
          <w:szCs w:val="24"/>
        </w:rPr>
        <w:t xml:space="preserve"> слова "В случаях, предусмотренных пунктами 166, 178, 179, 181 и 195 Основных положений функционирования розничных рынков электрической энергии" заменить словами "В случаях, предусмотренных Основными положениями функционирования розничных рынков электрической энергии";</w:t>
      </w:r>
    </w:p>
    <w:p>
      <w:pPr>
        <w:pStyle w:val="ConsPlusNormal"/>
        <w:spacing w:before="220" w:after="0"/>
        <w:ind w:firstLine="540"/>
        <w:jc w:val="both"/>
        <w:rPr/>
      </w:pPr>
      <w:hyperlink r:id="rId53">
        <w:r>
          <w:rPr>
            <w:rStyle w:val="ListLabel1"/>
            <w:rFonts w:ascii="Times New Roman" w:hAnsi="Times New Roman"/>
            <w:color w:val="0000FF"/>
            <w:sz w:val="24"/>
            <w:szCs w:val="24"/>
          </w:rPr>
          <w:t>абзац шестой подпункта "а"</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pPr>
        <w:pStyle w:val="ConsPlusNormal"/>
        <w:spacing w:before="220" w:after="0"/>
        <w:ind w:firstLine="540"/>
        <w:jc w:val="both"/>
        <w:rPr/>
      </w:pPr>
      <w:r>
        <w:rPr>
          <w:rFonts w:ascii="Times New Roman" w:hAnsi="Times New Roman"/>
          <w:sz w:val="24"/>
          <w:szCs w:val="24"/>
        </w:rPr>
        <w:t xml:space="preserve">в </w:t>
      </w:r>
      <w:hyperlink r:id="rId54">
        <w:r>
          <w:rPr>
            <w:rStyle w:val="ListLabel1"/>
            <w:rFonts w:ascii="Times New Roman" w:hAnsi="Times New Roman"/>
            <w:color w:val="0000FF"/>
            <w:sz w:val="24"/>
            <w:szCs w:val="24"/>
          </w:rPr>
          <w:t>абзаце шестом пункта 2</w:t>
        </w:r>
      </w:hyperlink>
      <w:r>
        <w:rPr>
          <w:rFonts w:ascii="Times New Roman" w:hAnsi="Times New Roman"/>
          <w:sz w:val="24"/>
          <w:szCs w:val="24"/>
        </w:rPr>
        <w:t>:</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слова "пунктом 196" заменить словами "пунктом 189";</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цифры "26280" заменить цифрами "8760".</w:t>
      </w:r>
    </w:p>
    <w:p>
      <w:pPr>
        <w:pStyle w:val="ConsPlusNormal"/>
        <w:spacing w:before="220" w:after="0"/>
        <w:ind w:firstLine="540"/>
        <w:jc w:val="both"/>
        <w:rPr/>
      </w:pPr>
      <w:r>
        <w:rPr>
          <w:rFonts w:ascii="Times New Roman" w:hAnsi="Times New Roman"/>
          <w:sz w:val="24"/>
          <w:szCs w:val="24"/>
        </w:rPr>
        <w:t xml:space="preserve">2. В </w:t>
      </w:r>
      <w:hyperlink r:id="rId55">
        <w:r>
          <w:rPr>
            <w:rStyle w:val="ListLabel1"/>
            <w:rFonts w:ascii="Times New Roman" w:hAnsi="Times New Roman"/>
            <w:color w:val="0000FF"/>
            <w:sz w:val="24"/>
            <w:szCs w:val="24"/>
          </w:rPr>
          <w:t>постановлении</w:t>
        </w:r>
      </w:hyperlink>
      <w:r>
        <w:rPr>
          <w:rFonts w:ascii="Times New Roman" w:hAnsi="Times New Roman"/>
          <w:sz w:val="24"/>
          <w:szCs w:val="24"/>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17, ст. 2088; N 25, ст. 3073; N 41, ст. 4771; 2010, N 12, ст. 1333; N 25, ст. 3175; N 40, ст. 5086; 2011, N 10, ст. 1406; 2012, N 4, ст. 504; N 23, ст. 3008; N 41, ст. 5636; N 49, ст. 6858; N 52, ст. 7525; 2013, N 30, ст. 4119; N 31, ст. 4226, 4236; N 32, ст. 4309; N 33, ст. 4392; N 35, ст. 4523; N 42, ст. 5373; N 44, ст. 5765; N 47, ст. 6105; N 48, ст. 6255; N 50, ст. 6598; 2014, N 7, ст. 689; N 9, ст. 913; N 11, ст. 1156; N 25, ст. 3311; N 32, ст. 4513, 4521; 2015, N 12, ст. 1755; N 16, ст. 2387; N 20, ст. 2924; N 25, ст. 3669; N 28, ст. 4243, 4244; N 37, ст. 5153; N 40, ст. 5574; 2016, N 9, ст. 1266; N 33, ст. 5185; N 40, ст. 5735; N 41, ст. 5838; N 49, ст. 6928; N 51, ст. 7372; 2017, N 1, ст. 162, 178, 204; N 8, ст. 1230; N 12, ст. 1728; N 20, ст. 2927; N 21, ст. 3009; N 23, ст. 3323; N 29, ст. 4372; N 47, ст. 6987; N 50, ст. 7627; 2018, N 1, ст. 388; N 17, ст. 2492, 2503; N 34, ст. 5483; N 39, ст. 5970; N 53, ст. 8666; 2019, N 6, ст. 527; N 17, ст. 2100; N 23, ст. 2940; N 26, ст. 3453; 2020, N 1, ст. 52, 80):</w:t>
      </w:r>
    </w:p>
    <w:p>
      <w:pPr>
        <w:pStyle w:val="ConsPlusNormal"/>
        <w:spacing w:before="220" w:after="0"/>
        <w:ind w:firstLine="540"/>
        <w:jc w:val="both"/>
        <w:rPr/>
      </w:pPr>
      <w:r>
        <w:rPr>
          <w:rFonts w:ascii="Times New Roman" w:hAnsi="Times New Roman"/>
          <w:sz w:val="24"/>
          <w:szCs w:val="24"/>
        </w:rPr>
        <w:t xml:space="preserve">а) в </w:t>
      </w:r>
      <w:hyperlink r:id="rId56">
        <w:r>
          <w:rPr>
            <w:rStyle w:val="ListLabel1"/>
            <w:rFonts w:ascii="Times New Roman" w:hAnsi="Times New Roman"/>
            <w:color w:val="0000FF"/>
            <w:sz w:val="24"/>
            <w:szCs w:val="24"/>
          </w:rPr>
          <w:t>Правилах</w:t>
        </w:r>
      </w:hyperlink>
      <w:r>
        <w:rPr>
          <w:rFonts w:ascii="Times New Roman" w:hAnsi="Times New Roman"/>
          <w:sz w:val="24"/>
          <w:szCs w:val="24"/>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pPr>
        <w:pStyle w:val="ConsPlusNormal"/>
        <w:spacing w:before="220" w:after="0"/>
        <w:ind w:firstLine="540"/>
        <w:jc w:val="both"/>
        <w:rPr/>
      </w:pPr>
      <w:hyperlink r:id="rId57">
        <w:r>
          <w:rPr>
            <w:rStyle w:val="ListLabel1"/>
            <w:rFonts w:ascii="Times New Roman" w:hAnsi="Times New Roman"/>
            <w:color w:val="0000FF"/>
            <w:sz w:val="24"/>
            <w:szCs w:val="24"/>
          </w:rPr>
          <w:t>пункт 2</w:t>
        </w:r>
      </w:hyperlink>
      <w:r>
        <w:rPr>
          <w:rFonts w:ascii="Times New Roman" w:hAnsi="Times New Roman"/>
          <w:sz w:val="24"/>
          <w:szCs w:val="24"/>
        </w:rPr>
        <w:t xml:space="preserve"> дополнить абзацем следующего содержания: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"Понятие "измерительный комплекс", используемое в настоящем документе, соответствует понятию "измерительный комплекс", определенному разделом X Основных положений функционирования розничных рынков электрической энергии.";</w:t>
      </w:r>
    </w:p>
    <w:p>
      <w:pPr>
        <w:pStyle w:val="ConsPlusNormal"/>
        <w:spacing w:before="220" w:after="0"/>
        <w:ind w:firstLine="540"/>
        <w:jc w:val="both"/>
        <w:rPr/>
      </w:pPr>
      <w:r>
        <w:rPr>
          <w:rFonts w:ascii="Times New Roman" w:hAnsi="Times New Roman"/>
          <w:sz w:val="24"/>
          <w:szCs w:val="24"/>
        </w:rPr>
        <w:t xml:space="preserve">в </w:t>
      </w:r>
      <w:hyperlink r:id="rId58">
        <w:r>
          <w:rPr>
            <w:rStyle w:val="ListLabel1"/>
            <w:rFonts w:ascii="Times New Roman" w:hAnsi="Times New Roman"/>
            <w:color w:val="0000FF"/>
            <w:sz w:val="24"/>
            <w:szCs w:val="24"/>
          </w:rPr>
          <w:t>пункте 13</w:t>
        </w:r>
      </w:hyperlink>
      <w:r>
        <w:rPr>
          <w:rFonts w:ascii="Times New Roman" w:hAnsi="Times New Roman"/>
          <w:sz w:val="24"/>
          <w:szCs w:val="24"/>
        </w:rPr>
        <w:t>:</w:t>
      </w:r>
    </w:p>
    <w:p>
      <w:pPr>
        <w:pStyle w:val="ConsPlusNormal"/>
        <w:spacing w:before="220" w:after="0"/>
        <w:ind w:firstLine="540"/>
        <w:jc w:val="both"/>
        <w:rPr/>
      </w:pPr>
      <w:hyperlink r:id="rId59">
        <w:r>
          <w:rPr>
            <w:rStyle w:val="ListLabel1"/>
            <w:rFonts w:ascii="Times New Roman" w:hAnsi="Times New Roman"/>
            <w:color w:val="0000FF"/>
            <w:sz w:val="24"/>
            <w:szCs w:val="24"/>
          </w:rPr>
          <w:t>подпункт "г"</w:t>
        </w:r>
      </w:hyperlink>
      <w:r>
        <w:rPr>
          <w:rFonts w:ascii="Times New Roman" w:hAnsi="Times New Roman"/>
          <w:sz w:val="24"/>
          <w:szCs w:val="24"/>
        </w:rPr>
        <w:t xml:space="preserve"> после слов "сведения о приборах учета электрической энергии (мощности)" дополнить словами "(измерительных комплексах)";</w:t>
      </w:r>
    </w:p>
    <w:p>
      <w:pPr>
        <w:pStyle w:val="ConsPlusNormal"/>
        <w:spacing w:before="220" w:after="0"/>
        <w:ind w:firstLine="540"/>
        <w:jc w:val="both"/>
        <w:rPr/>
      </w:pPr>
      <w:hyperlink r:id="rId60">
        <w:r>
          <w:rPr>
            <w:rStyle w:val="ListLabel1"/>
            <w:rFonts w:ascii="Times New Roman" w:hAnsi="Times New Roman"/>
            <w:color w:val="0000FF"/>
            <w:sz w:val="24"/>
            <w:szCs w:val="24"/>
          </w:rPr>
          <w:t>подпункт "д"</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pPr>
        <w:pStyle w:val="ConsPlusNormal"/>
        <w:spacing w:before="220" w:after="0"/>
        <w:ind w:firstLine="540"/>
        <w:jc w:val="both"/>
        <w:rPr/>
      </w:pPr>
      <w:hyperlink r:id="rId61">
        <w:r>
          <w:rPr>
            <w:rStyle w:val="ListLabel1"/>
            <w:rFonts w:ascii="Times New Roman" w:hAnsi="Times New Roman"/>
            <w:color w:val="0000FF"/>
            <w:sz w:val="24"/>
            <w:szCs w:val="24"/>
          </w:rPr>
          <w:t>дополнить</w:t>
        </w:r>
      </w:hyperlink>
      <w:r>
        <w:rPr>
          <w:rFonts w:ascii="Times New Roman" w:hAnsi="Times New Roman"/>
          <w:sz w:val="24"/>
          <w:szCs w:val="24"/>
        </w:rPr>
        <w:t xml:space="preserve"> подпунктом "з" следующего содержания: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"з) неустойка в размере и в случаях, которые предусмотрены разделом X Основных положений функционирования розничных рынков электрической энергии.";</w:t>
      </w:r>
    </w:p>
    <w:p>
      <w:pPr>
        <w:pStyle w:val="ConsPlusNormal"/>
        <w:spacing w:before="220" w:after="0"/>
        <w:ind w:firstLine="540"/>
        <w:jc w:val="both"/>
        <w:rPr/>
      </w:pPr>
      <w:hyperlink r:id="rId62">
        <w:r>
          <w:rPr>
            <w:rStyle w:val="ListLabel1"/>
            <w:rFonts w:ascii="Times New Roman" w:hAnsi="Times New Roman"/>
            <w:color w:val="0000FF"/>
            <w:sz w:val="24"/>
            <w:szCs w:val="24"/>
          </w:rPr>
          <w:t>дополнить</w:t>
        </w:r>
      </w:hyperlink>
      <w:r>
        <w:rPr>
          <w:rFonts w:ascii="Times New Roman" w:hAnsi="Times New Roman"/>
          <w:sz w:val="24"/>
          <w:szCs w:val="24"/>
        </w:rPr>
        <w:t xml:space="preserve"> пунктом 13(4) следующего содержания:</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pPr>
        <w:pStyle w:val="ConsPlusNormal"/>
        <w:spacing w:before="220" w:after="0"/>
        <w:ind w:firstLine="540"/>
        <w:jc w:val="both"/>
        <w:rPr/>
      </w:pPr>
      <w:r>
        <w:rPr>
          <w:rFonts w:ascii="Times New Roman" w:hAnsi="Times New Roman"/>
          <w:sz w:val="24"/>
          <w:szCs w:val="24"/>
        </w:rPr>
        <w:t xml:space="preserve">в </w:t>
      </w:r>
      <w:hyperlink r:id="rId63">
        <w:r>
          <w:rPr>
            <w:rStyle w:val="ListLabel1"/>
            <w:rFonts w:ascii="Times New Roman" w:hAnsi="Times New Roman"/>
            <w:color w:val="0000FF"/>
            <w:sz w:val="24"/>
            <w:szCs w:val="24"/>
          </w:rPr>
          <w:t>пункте 14</w:t>
        </w:r>
      </w:hyperlink>
      <w:r>
        <w:rPr>
          <w:rFonts w:ascii="Times New Roman" w:hAnsi="Times New Roman"/>
          <w:sz w:val="24"/>
          <w:szCs w:val="24"/>
        </w:rPr>
        <w:t>:</w:t>
      </w:r>
    </w:p>
    <w:p>
      <w:pPr>
        <w:pStyle w:val="ConsPlusNormal"/>
        <w:spacing w:before="220" w:after="0"/>
        <w:ind w:firstLine="540"/>
        <w:jc w:val="both"/>
        <w:rPr/>
      </w:pPr>
      <w:hyperlink r:id="rId64">
        <w:r>
          <w:rPr>
            <w:rStyle w:val="ListLabel1"/>
            <w:rFonts w:ascii="Times New Roman" w:hAnsi="Times New Roman"/>
            <w:color w:val="0000FF"/>
            <w:sz w:val="24"/>
            <w:szCs w:val="24"/>
          </w:rPr>
          <w:t>подпункт "в"</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pPr>
        <w:pStyle w:val="ConsPlusNormal"/>
        <w:spacing w:before="220" w:after="0"/>
        <w:ind w:firstLine="540"/>
        <w:jc w:val="both"/>
        <w:rPr/>
      </w:pPr>
      <w:hyperlink r:id="rId65">
        <w:r>
          <w:rPr>
            <w:rStyle w:val="ListLabel1"/>
            <w:rFonts w:ascii="Times New Roman" w:hAnsi="Times New Roman"/>
            <w:color w:val="0000FF"/>
            <w:sz w:val="24"/>
            <w:szCs w:val="24"/>
          </w:rPr>
          <w:t>подпункт "м"</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допуска установленного прибора учета (измерительного комплекса) в эксплуатацию;</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эксплуатации установленного потребителем услуг прибора учета (измерительного комплекса, измерительного трансформатора);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передачи показаний приборов учета;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сообщения о выходе прибора учета из эксплуатации;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обеспечения доступа к месту установки прибора учета (измерительного комплекса, измерительного трансформатора);";</w:t>
      </w:r>
    </w:p>
    <w:p>
      <w:pPr>
        <w:pStyle w:val="ConsPlusNormal"/>
        <w:spacing w:before="220" w:after="0"/>
        <w:ind w:firstLine="540"/>
        <w:jc w:val="both"/>
        <w:rPr/>
      </w:pPr>
      <w:hyperlink r:id="rId66">
        <w:r>
          <w:rPr>
            <w:rStyle w:val="ListLabel1"/>
            <w:rFonts w:ascii="Times New Roman" w:hAnsi="Times New Roman"/>
            <w:color w:val="0000FF"/>
            <w:sz w:val="24"/>
            <w:szCs w:val="24"/>
          </w:rPr>
          <w:t>подпункт "о"</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pPr>
        <w:pStyle w:val="ConsPlusNormal"/>
        <w:spacing w:before="220" w:after="0"/>
        <w:ind w:firstLine="540"/>
        <w:jc w:val="both"/>
        <w:rPr/>
      </w:pPr>
      <w:hyperlink r:id="rId67">
        <w:r>
          <w:rPr>
            <w:rStyle w:val="ListLabel1"/>
            <w:rFonts w:ascii="Times New Roman" w:hAnsi="Times New Roman"/>
            <w:color w:val="0000FF"/>
            <w:sz w:val="24"/>
            <w:szCs w:val="24"/>
          </w:rPr>
          <w:t>пункт 15</w:t>
        </w:r>
      </w:hyperlink>
      <w:r>
        <w:rPr>
          <w:rFonts w:ascii="Times New Roman" w:hAnsi="Times New Roman"/>
          <w:sz w:val="24"/>
          <w:szCs w:val="24"/>
        </w:rPr>
        <w:t xml:space="preserve"> дополнить подпунктами "е" - "з" следующего содержания:</w:t>
      </w:r>
    </w:p>
    <w:p>
      <w:pPr>
        <w:pStyle w:val="ConsPlusNormal"/>
        <w:spacing w:before="220" w:after="0"/>
        <w:ind w:firstLine="540"/>
        <w:jc w:val="both"/>
        <w:rPr/>
      </w:pPr>
      <w:r>
        <w:rPr>
          <w:rFonts w:ascii="Times New Roman" w:hAnsi="Times New Roman"/>
          <w:sz w:val="24"/>
          <w:szCs w:val="24"/>
        </w:rP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68">
        <w:r>
          <w:rPr>
            <w:rStyle w:val="ListLabel1"/>
            <w:rFonts w:ascii="Times New Roman" w:hAnsi="Times New Roman"/>
            <w:color w:val="0000FF"/>
            <w:sz w:val="24"/>
            <w:szCs w:val="24"/>
          </w:rPr>
          <w:t>Правилами</w:t>
        </w:r>
      </w:hyperlink>
      <w:r>
        <w:rPr>
          <w:rFonts w:ascii="Times New Roman" w:hAnsi="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69">
        <w:r>
          <w:rPr>
            <w:rStyle w:val="ListLabel1"/>
            <w:rFonts w:ascii="Times New Roman" w:hAnsi="Times New Roman"/>
            <w:color w:val="0000FF"/>
            <w:sz w:val="24"/>
            <w:szCs w:val="24"/>
          </w:rPr>
          <w:t>положениями</w:t>
        </w:r>
      </w:hyperlink>
      <w:r>
        <w:rPr>
          <w:rFonts w:ascii="Times New Roman" w:hAnsi="Times New Roman"/>
          <w:sz w:val="24"/>
          <w:szCs w:val="24"/>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ConsPlusNormal"/>
        <w:spacing w:before="220" w:after="0"/>
        <w:ind w:firstLine="540"/>
        <w:jc w:val="both"/>
        <w:rPr/>
      </w:pPr>
      <w:r>
        <w:rPr>
          <w:rFonts w:ascii="Times New Roman" w:hAnsi="Times New Roman"/>
          <w:sz w:val="24"/>
          <w:szCs w:val="24"/>
        </w:rP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правилами предоставления доступа к минимальному набору функций интеллектуальных систем учета электрической энергии (мощности), предусмотренными </w:t>
      </w:r>
      <w:hyperlink r:id="rId70">
        <w:r>
          <w:rPr>
            <w:rStyle w:val="ListLabel1"/>
            <w:rFonts w:ascii="Times New Roman" w:hAnsi="Times New Roman"/>
            <w:color w:val="0000FF"/>
            <w:sz w:val="24"/>
            <w:szCs w:val="24"/>
          </w:rPr>
          <w:t>пунктом 1 статьи 21</w:t>
        </w:r>
      </w:hyperlink>
      <w:r>
        <w:rPr>
          <w:rFonts w:ascii="Times New Roman" w:hAnsi="Times New Roman"/>
          <w:sz w:val="24"/>
          <w:szCs w:val="24"/>
        </w:rPr>
        <w:t xml:space="preserve"> Федерального закона "Об электроэнергетике";</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pPr>
        <w:pStyle w:val="ConsPlusNormal"/>
        <w:spacing w:before="220" w:after="0"/>
        <w:ind w:firstLine="540"/>
        <w:jc w:val="both"/>
        <w:rPr/>
      </w:pPr>
      <w:hyperlink r:id="rId71">
        <w:r>
          <w:rPr>
            <w:rStyle w:val="ListLabel1"/>
            <w:rFonts w:ascii="Times New Roman" w:hAnsi="Times New Roman"/>
            <w:color w:val="0000FF"/>
            <w:sz w:val="24"/>
            <w:szCs w:val="24"/>
          </w:rPr>
          <w:t>пункт 30</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pPr>
        <w:pStyle w:val="ConsPlusNormal"/>
        <w:spacing w:before="220" w:after="0"/>
        <w:ind w:firstLine="540"/>
        <w:jc w:val="both"/>
        <w:rPr/>
      </w:pPr>
      <w:r>
        <w:rPr>
          <w:rFonts w:ascii="Times New Roman" w:hAnsi="Times New Roman"/>
          <w:sz w:val="24"/>
          <w:szCs w:val="24"/>
        </w:rPr>
        <w:t xml:space="preserve">б) в </w:t>
      </w:r>
      <w:hyperlink r:id="rId72">
        <w:r>
          <w:rPr>
            <w:rStyle w:val="ListLabel1"/>
            <w:rFonts w:ascii="Times New Roman" w:hAnsi="Times New Roman"/>
            <w:color w:val="0000FF"/>
            <w:sz w:val="24"/>
            <w:szCs w:val="24"/>
          </w:rPr>
          <w:t>Правилах</w:t>
        </w:r>
      </w:hyperlink>
      <w:r>
        <w:rPr>
          <w:rFonts w:ascii="Times New Roman" w:hAnsi="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ConsPlusNormal"/>
        <w:spacing w:before="220" w:after="0"/>
        <w:ind w:firstLine="540"/>
        <w:jc w:val="both"/>
        <w:rPr/>
      </w:pPr>
      <w:r>
        <w:rPr>
          <w:rFonts w:ascii="Times New Roman" w:hAnsi="Times New Roman"/>
          <w:sz w:val="24"/>
          <w:szCs w:val="24"/>
        </w:rPr>
        <w:t xml:space="preserve">в </w:t>
      </w:r>
      <w:hyperlink r:id="rId73">
        <w:r>
          <w:rPr>
            <w:rStyle w:val="ListLabel1"/>
            <w:rFonts w:ascii="Times New Roman" w:hAnsi="Times New Roman"/>
            <w:color w:val="0000FF"/>
            <w:sz w:val="24"/>
            <w:szCs w:val="24"/>
          </w:rPr>
          <w:t>подпункте "в" пункта 25</w:t>
        </w:r>
      </w:hyperlink>
      <w:r>
        <w:rPr>
          <w:rFonts w:ascii="Times New Roman" w:hAnsi="Times New Roman"/>
          <w:sz w:val="24"/>
          <w:szCs w:val="24"/>
        </w:rPr>
        <w:t xml:space="preserve"> слова "и мощности (активной и реактивной)" заменить словами "и иному оборудованию, которые необходимы для обеспечения коммерческого учета электрической энергии (мощности)";</w:t>
      </w:r>
    </w:p>
    <w:p>
      <w:pPr>
        <w:pStyle w:val="ConsPlusNormal"/>
        <w:spacing w:before="220" w:after="0"/>
        <w:ind w:firstLine="540"/>
        <w:jc w:val="both"/>
        <w:rPr/>
      </w:pPr>
      <w:hyperlink r:id="rId74">
        <w:r>
          <w:rPr>
            <w:rStyle w:val="ListLabel1"/>
            <w:rFonts w:ascii="Times New Roman" w:hAnsi="Times New Roman"/>
            <w:color w:val="0000FF"/>
            <w:sz w:val="24"/>
            <w:szCs w:val="24"/>
          </w:rPr>
          <w:t>подпункт "в" пункта 25(1)</w:t>
        </w:r>
      </w:hyperlink>
      <w:r>
        <w:rPr>
          <w:rFonts w:ascii="Times New Roman" w:hAnsi="Times New Roman"/>
          <w:sz w:val="24"/>
          <w:szCs w:val="24"/>
        </w:rPr>
        <w:t xml:space="preserve"> после слов "требования к приборам учета электрической энергии (мощности)" дополнить словами "и иному оборудованию, которые необходимы для обеспечения коммерческого учета электрической энергии (мощности)";</w:t>
      </w:r>
    </w:p>
    <w:p>
      <w:pPr>
        <w:pStyle w:val="ConsPlusNormal"/>
        <w:spacing w:before="220" w:after="0"/>
        <w:ind w:firstLine="540"/>
        <w:jc w:val="both"/>
        <w:rPr/>
      </w:pPr>
      <w:hyperlink r:id="rId75">
        <w:r>
          <w:rPr>
            <w:rStyle w:val="ListLabel1"/>
            <w:rFonts w:ascii="Times New Roman" w:hAnsi="Times New Roman"/>
            <w:color w:val="0000FF"/>
            <w:sz w:val="24"/>
            <w:szCs w:val="24"/>
          </w:rPr>
          <w:t>дополнить</w:t>
        </w:r>
      </w:hyperlink>
      <w:r>
        <w:rPr>
          <w:rFonts w:ascii="Times New Roman" w:hAnsi="Times New Roman"/>
          <w:sz w:val="24"/>
          <w:szCs w:val="24"/>
        </w:rPr>
        <w:t xml:space="preserve"> пунктом 25(5) следующего содержания:</w:t>
      </w:r>
    </w:p>
    <w:p>
      <w:pPr>
        <w:pStyle w:val="ConsPlusNormal"/>
        <w:spacing w:before="220" w:after="0"/>
        <w:ind w:firstLine="540"/>
        <w:jc w:val="both"/>
        <w:rPr/>
      </w:pPr>
      <w:r>
        <w:rPr>
          <w:rFonts w:ascii="Times New Roman" w:hAnsi="Times New Roman"/>
          <w:sz w:val="24"/>
          <w:szCs w:val="24"/>
        </w:rPr>
        <w:t xml:space="preserve">"25(5).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76">
        <w:r>
          <w:rPr>
            <w:rStyle w:val="ListLabel1"/>
            <w:rFonts w:ascii="Times New Roman" w:hAnsi="Times New Roman"/>
            <w:color w:val="0000FF"/>
            <w:sz w:val="24"/>
            <w:szCs w:val="24"/>
          </w:rPr>
          <w:t>разделом X</w:t>
        </w:r>
      </w:hyperlink>
      <w:r>
        <w:rPr>
          <w:rFonts w:ascii="Times New Roman" w:hAnsi="Times New Roman"/>
          <w:sz w:val="24"/>
          <w:szCs w:val="24"/>
        </w:rPr>
        <w:t xml:space="preserve"> 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pPr>
        <w:pStyle w:val="ConsPlusNormal"/>
        <w:spacing w:before="220" w:after="0"/>
        <w:ind w:firstLine="540"/>
        <w:jc w:val="both"/>
        <w:rPr/>
      </w:pPr>
      <w:hyperlink r:id="rId77">
        <w:r>
          <w:rPr>
            <w:rStyle w:val="ListLabel1"/>
            <w:rFonts w:ascii="Times New Roman" w:hAnsi="Times New Roman"/>
            <w:color w:val="0000FF"/>
            <w:sz w:val="24"/>
            <w:szCs w:val="24"/>
          </w:rPr>
          <w:t>абзац третий пункта 26</w:t>
        </w:r>
      </w:hyperlink>
      <w:r>
        <w:rPr>
          <w:rFonts w:ascii="Times New Roman" w:hAnsi="Times New Roman"/>
          <w:sz w:val="24"/>
          <w:szCs w:val="24"/>
        </w:rPr>
        <w:t xml:space="preserve"> изложить в следующей редакции:</w:t>
      </w:r>
    </w:p>
    <w:p>
      <w:pPr>
        <w:pStyle w:val="ConsPlusNormal"/>
        <w:spacing w:before="220" w:after="0"/>
        <w:ind w:firstLine="540"/>
        <w:jc w:val="both"/>
        <w:rPr>
          <w:rFonts w:ascii="Times New Roman" w:hAnsi="Times New Roman"/>
          <w:sz w:val="24"/>
          <w:szCs w:val="24"/>
        </w:rPr>
      </w:pPr>
      <w:r>
        <w:rPr>
          <w:rFonts w:ascii="Times New Roman" w:hAnsi="Times New Roman"/>
          <w:sz w:val="24"/>
          <w:szCs w:val="24"/>
        </w:rPr>
        <w:t>"Требования,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пунктами 25 и 25(1)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pPr>
        <w:pStyle w:val="ConsPlusNormal"/>
        <w:spacing w:before="220" w:after="0"/>
        <w:ind w:firstLine="540"/>
        <w:jc w:val="both"/>
        <w:rPr/>
      </w:pPr>
      <w:r>
        <w:rPr>
          <w:rFonts w:ascii="Times New Roman" w:hAnsi="Times New Roman"/>
          <w:sz w:val="24"/>
          <w:szCs w:val="24"/>
        </w:rPr>
        <w:t xml:space="preserve">в </w:t>
      </w:r>
      <w:hyperlink r:id="rId78">
        <w:r>
          <w:rPr>
            <w:rStyle w:val="ListLabel1"/>
            <w:rFonts w:ascii="Times New Roman" w:hAnsi="Times New Roman"/>
            <w:color w:val="0000FF"/>
            <w:sz w:val="24"/>
            <w:szCs w:val="24"/>
          </w:rPr>
          <w:t>абзаце третьем подпункта "б" пункта 77</w:t>
        </w:r>
      </w:hyperlink>
      <w:r>
        <w:rPr>
          <w:rFonts w:ascii="Times New Roman" w:hAnsi="Times New Roman"/>
          <w:sz w:val="24"/>
          <w:szCs w:val="24"/>
        </w:rPr>
        <w:t xml:space="preserve"> слова "предусмотренным пунктом 166" заменить словами "предусмотренным </w:t>
      </w:r>
      <w:hyperlink r:id="rId79">
        <w:r>
          <w:rPr>
            <w:rStyle w:val="ListLabel1"/>
            <w:rFonts w:ascii="Times New Roman" w:hAnsi="Times New Roman"/>
            <w:color w:val="0000FF"/>
            <w:sz w:val="24"/>
            <w:szCs w:val="24"/>
          </w:rPr>
          <w:t>разделом X</w:t>
        </w:r>
      </w:hyperlink>
      <w:r>
        <w:rPr>
          <w:rFonts w:ascii="Times New Roman" w:hAnsi="Times New Roman"/>
          <w:sz w:val="24"/>
          <w:szCs w:val="24"/>
        </w:rPr>
        <w:t>";</w:t>
      </w:r>
    </w:p>
    <w:p>
      <w:pPr>
        <w:pStyle w:val="ConsPlusNormal"/>
        <w:spacing w:before="220" w:after="0"/>
        <w:ind w:firstLine="540"/>
        <w:jc w:val="both"/>
        <w:rPr/>
      </w:pPr>
      <w:hyperlink r:id="rId80">
        <w:r>
          <w:rPr>
            <w:rStyle w:val="ListLabel1"/>
            <w:rFonts w:ascii="Times New Roman" w:hAnsi="Times New Roman"/>
            <w:color w:val="0000FF"/>
            <w:sz w:val="24"/>
            <w:szCs w:val="24"/>
          </w:rPr>
          <w:t>абзац первый пункта 82(1)</w:t>
        </w:r>
      </w:hyperlink>
      <w:r>
        <w:rPr>
          <w:rFonts w:ascii="Times New Roman" w:hAnsi="Times New Roman"/>
          <w:sz w:val="24"/>
          <w:szCs w:val="24"/>
        </w:rPr>
        <w:t xml:space="preserve"> дополнить предложением следующего содержания: "Форма акта допуска в эксплуатацию прибора учета электрической энергии приведена в приложении N 16.";</w:t>
      </w:r>
    </w:p>
    <w:p>
      <w:pPr>
        <w:pStyle w:val="ConsPlusNormal"/>
        <w:spacing w:before="220" w:after="0"/>
        <w:ind w:firstLine="540"/>
        <w:jc w:val="both"/>
        <w:rPr/>
      </w:pPr>
      <w:hyperlink r:id="rId81">
        <w:r>
          <w:rPr>
            <w:rStyle w:val="ListLabel1"/>
            <w:rFonts w:ascii="Times New Roman" w:hAnsi="Times New Roman"/>
            <w:color w:val="0000FF"/>
            <w:sz w:val="24"/>
            <w:szCs w:val="24"/>
          </w:rPr>
          <w:t>абзац первый пункта 91(1)</w:t>
        </w:r>
      </w:hyperlink>
      <w:r>
        <w:rPr>
          <w:rFonts w:ascii="Times New Roman" w:hAnsi="Times New Roman"/>
          <w:sz w:val="24"/>
          <w:szCs w:val="24"/>
        </w:rPr>
        <w:t xml:space="preserve"> дополнить словами "к настоящим Правилам".</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f20143"/>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f20143"/>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f20143"/>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B2715DCB5FE7ACAA0646C418FA52DF46E46850D285100B8D9082E0697F727EF513D61584AEDEBABE2009429D933B560EA787ABE63D6BDC9v4YCH" TargetMode="External"/><Relationship Id="rId3" Type="http://schemas.openxmlformats.org/officeDocument/2006/relationships/hyperlink" Target="consultantplus://offline/ref=6B2715DCB5FE7ACAA0646C418FA52DF46E478300295000B8D9082E0697F727EF513D61584AEDECA9EA009429D933B560EA787ABE63D6BDC9v4YCH" TargetMode="External"/><Relationship Id="rId4" Type="http://schemas.openxmlformats.org/officeDocument/2006/relationships/hyperlink" Target="consultantplus://offline/ref=6B2715DCB5FE7ACAA0646C418FA52DF46E478300295000B8D9082E0697F727EF513D615841B9BDEBBE06C17B8366B07FEB6678vBY6H" TargetMode="External"/><Relationship Id="rId5" Type="http://schemas.openxmlformats.org/officeDocument/2006/relationships/hyperlink" Target="consultantplus://offline/ref=6B2715DCB5FE7ACAA0646C418FA52DF46E478300295000B8D9082E0697F727EF513D61584AEDECA9E9009429D933B560EA787ABE63D6BDC9v4YCH" TargetMode="External"/><Relationship Id="rId6" Type="http://schemas.openxmlformats.org/officeDocument/2006/relationships/hyperlink" Target="consultantplus://offline/ref=6B2715DCB5FE7ACAA0646C418FA52DF46E478300295000B8D9082E0697F727EF513D61584AEDEDABED009429D933B560EA787ABE63D6BDC9v4YCH" TargetMode="External"/><Relationship Id="rId7" Type="http://schemas.openxmlformats.org/officeDocument/2006/relationships/hyperlink" Target="consultantplus://offline/ref=6B2715DCB5FE7ACAA0646C418FA52DF46E478300295000B8D9082E0697F727EF513D61584AEDEDABED009429D933B560EA787ABE63D6BDC9v4YCH" TargetMode="External"/><Relationship Id="rId8" Type="http://schemas.openxmlformats.org/officeDocument/2006/relationships/hyperlink" Target="consultantplus://offline/ref=6B2715DCB5FE7ACAA0646C418FA52DF46E478300295000B8D9082E0697F727EF513D61584AEDEDAAEB009429D933B560EA787ABE63D6BDC9v4YCH" TargetMode="External"/><Relationship Id="rId9" Type="http://schemas.openxmlformats.org/officeDocument/2006/relationships/hyperlink" Target="consultantplus://offline/ref=6B2715DCB5FE7ACAA0646C418FA52DF46E478300295000B8D9082E0697F727EF513D61584AEDEDA8EB009429D933B560EA787ABE63D6BDC9v4YCH" TargetMode="External"/><Relationship Id="rId10" Type="http://schemas.openxmlformats.org/officeDocument/2006/relationships/hyperlink" Target="consultantplus://offline/ref=6B2715DCB5FE7ACAA0646C418FA52DF46E478300295000B8D9082E0697F727EF513D61584AEFE8A7ED009429D933B560EA787ABE63D6BDC9v4YCH" TargetMode="External"/><Relationship Id="rId11" Type="http://schemas.openxmlformats.org/officeDocument/2006/relationships/hyperlink" Target="consultantplus://offline/ref=6B2715DCB5FE7ACAA0646C418FA52DF46E478300295000B8D9082E0697F727EF513D61584DE8E8A4BF5A842D9067BB7FE96E64B47DD6vBYDH" TargetMode="External"/><Relationship Id="rId12" Type="http://schemas.openxmlformats.org/officeDocument/2006/relationships/hyperlink" Target="consultantplus://offline/ref=6B2715DCB5FE7ACAA0646C418FA52DF46E478300295000B8D9082E0697F727EF513D61584AEDEEAAE3009429D933B560EA787ABE63D6BDC9v4YCH" TargetMode="External"/><Relationship Id="rId13" Type="http://schemas.openxmlformats.org/officeDocument/2006/relationships/hyperlink" Target="consultantplus://offline/ref=6B2715DCB5FE7ACAA0646C418FA52DF46E478300295000B8D9082E0697F727EF513D61584AE6B8FEAF5ECD799E78B869F7647AB4v7YDH" TargetMode="External"/><Relationship Id="rId14" Type="http://schemas.openxmlformats.org/officeDocument/2006/relationships/hyperlink" Target="consultantplus://offline/ref=6B2715DCB5FE7ACAA0646C418FA52DF46E478300295000B8D9082E0697F727EF513D61584AEDEEA8EA009429D933B560EA787ABE63D6BDC9v4YCH" TargetMode="External"/><Relationship Id="rId15" Type="http://schemas.openxmlformats.org/officeDocument/2006/relationships/hyperlink" Target="consultantplus://offline/ref=6B2715DCB5FE7ACAA0646C418FA52DF46E478300295000B8D9082E0697F727EF513D61584AEFE8A6EF009429D933B560EA787ABE63D6BDC9v4YCH" TargetMode="External"/><Relationship Id="rId16" Type="http://schemas.openxmlformats.org/officeDocument/2006/relationships/hyperlink" Target="consultantplus://offline/ref=6B2715DCB5FE7ACAA0646C418FA52DF46E478300295000B8D9082E0697F727EF513D61584AEDEEA8ED009429D933B560EA787ABE63D6BDC9v4YCH" TargetMode="External"/><Relationship Id="rId17" Type="http://schemas.openxmlformats.org/officeDocument/2006/relationships/hyperlink" Target="consultantplus://offline/ref=6B2715DCB5FE7ACAA0646C418FA52DF46E478300295000B8D9082E0697F727EF513D61584AEDEEA8EC009429D933B560EA787ABE63D6BDC9v4YCH" TargetMode="External"/><Relationship Id="rId18" Type="http://schemas.openxmlformats.org/officeDocument/2006/relationships/hyperlink" Target="consultantplus://offline/ref=6B2715DCB5FE7ACAA0646C418FA52DF46E478300295000B8D9082E0697F727EF513D61584AEDEEA8E2009429D933B560EA787ABE63D6BDC9v4YCH" TargetMode="External"/><Relationship Id="rId19" Type="http://schemas.openxmlformats.org/officeDocument/2006/relationships/hyperlink" Target="consultantplus://offline/ref=6B2715DCB5FE7ACAA0646C418FA52DF46E478300295000B8D9082E0697F727EF513D61584AEDEEA7EA009429D933B560EA787ABE63D6BDC9v4YCH" TargetMode="External"/><Relationship Id="rId20" Type="http://schemas.openxmlformats.org/officeDocument/2006/relationships/hyperlink" Target="consultantplus://offline/ref=6B2715DCB5FE7ACAA0646C418FA52DF46E478300295000B8D9082E0697F727EF513D61584AEDEEA7E9009429D933B560EA787ABE63D6BDC9v4YCH" TargetMode="External"/><Relationship Id="rId21" Type="http://schemas.openxmlformats.org/officeDocument/2006/relationships/hyperlink" Target="consultantplus://offline/ref=6B2715DCB5FE7ACAA0646C418FA52DF46E478300295000B8D9082E0697F727EF513D61584AEDEEA7E8009429D933B560EA787ABE63D6BDC9v4YCH" TargetMode="External"/><Relationship Id="rId22" Type="http://schemas.openxmlformats.org/officeDocument/2006/relationships/hyperlink" Target="consultantplus://offline/ref=6B2715DCB5FE7ACAA0646C418FA52DF46E478300295000B8D9082E0697F727EF513D61584AEDEEA7EF009429D933B560EA787ABE63D6BDC9v4YCH" TargetMode="External"/><Relationship Id="rId23" Type="http://schemas.openxmlformats.org/officeDocument/2006/relationships/hyperlink" Target="consultantplus://offline/ref=6B2715DCB5FE7ACAA0646C418FA52DF46E478300295000B8D9082E0697F727EF513D61584AEDEEA7ED009429D933B560EA787ABE63D6BDC9v4YCH" TargetMode="External"/><Relationship Id="rId24" Type="http://schemas.openxmlformats.org/officeDocument/2006/relationships/hyperlink" Target="consultantplus://offline/ref=6B2715DCB5FE7ACAA0646C418FA52DF46E478300295000B8D9082E0697F727EF513D61584AEDEEA6E8009429D933B560EA787ABE63D6BDC9v4YCH" TargetMode="External"/><Relationship Id="rId25" Type="http://schemas.openxmlformats.org/officeDocument/2006/relationships/hyperlink" Target="consultantplus://offline/ref=6B2715DCB5FE7ACAA0646C418FA52DF46E478300295000B8D9082E0697F727EF513D615B4BE5E7FBBA4F95759C65A661E17878B67FvDY4H" TargetMode="External"/><Relationship Id="rId26" Type="http://schemas.openxmlformats.org/officeDocument/2006/relationships/hyperlink" Target="consultantplus://offline/ref=6B2715DCB5FE7ACAA0646C418FA52DF46E478300295000B8D9082E0697F727EF513D61584AEFE9ADEE009429D933B560EA787ABE63D6BDC9v4YCH" TargetMode="External"/><Relationship Id="rId27" Type="http://schemas.openxmlformats.org/officeDocument/2006/relationships/hyperlink" Target="consultantplus://offline/ref=6B2715DCB5FE7ACAA0646C418FA52DF46E478300295000B8D9082E0697F727EF513D61584AEFE9ACEF009429D933B560EA787ABE63D6BDC9v4YCH" TargetMode="External"/><Relationship Id="rId28" Type="http://schemas.openxmlformats.org/officeDocument/2006/relationships/hyperlink" Target="consultantplus://offline/ref=6B2715DCB5FE7ACAA0646C418FA52DF46E478300295000B8D9082E0697F727EF513D61584AEFE9ABEB009429D933B560EA787ABE63D6BDC9v4YCH" TargetMode="External"/><Relationship Id="rId29" Type="http://schemas.openxmlformats.org/officeDocument/2006/relationships/hyperlink" Target="consultantplus://offline/ref=6B2715DCB5FE7ACAA0646C418FA52DF46E478300295000B8D9082E0697F727EF513D61584AEFE9ABEF009429D933B560EA787ABE63D6BDC9v4YCH" TargetMode="External"/><Relationship Id="rId30" Type="http://schemas.openxmlformats.org/officeDocument/2006/relationships/hyperlink" Target="consultantplus://offline/ref=6B2715DCB5FE7ACAA0646C418FA52DF46E478300295000B8D9082E0697F727EF513D61584AEFE9AAEE009429D933B560EA787ABE63D6BDC9v4YCH" TargetMode="External"/><Relationship Id="rId31" Type="http://schemas.openxmlformats.org/officeDocument/2006/relationships/hyperlink" Target="consultantplus://offline/ref=6B2715DCB5FE7ACAA0646C418FA52DF46E478300295000B8D9082E0697F727EF513D61584AEDE8AFEF009429D933B560EA787ABE63D6BDC9v4YCH" TargetMode="External"/><Relationship Id="rId32" Type="http://schemas.openxmlformats.org/officeDocument/2006/relationships/hyperlink" Target="consultantplus://offline/ref=6B2715DCB5FE7ACAA0646C418FA52DF46E478300295000B8D9082E0697F727EF513D61584AEDE8ABE2009429D933B560EA787ABE63D6BDC9v4YCH" TargetMode="External"/><Relationship Id="rId33" Type="http://schemas.openxmlformats.org/officeDocument/2006/relationships/hyperlink" Target="consultantplus://offline/ref=6B2715DCB5FE7ACAA0646C418FA52DF46E478300295000B8D9082E0697F727EF513D61584AEDE8A7E8009429D933B560EA787ABE63D6BDC9v4YCH" TargetMode="External"/><Relationship Id="rId34" Type="http://schemas.openxmlformats.org/officeDocument/2006/relationships/hyperlink" Target="consultantplus://offline/ref=6B2715DCB5FE7ACAA0646C418FA52DF46E478300295000B8D9082E0697F727EF513D615B43EEE7FBBA4F95759C65A661E17878B67FvDY4H" TargetMode="External"/><Relationship Id="rId35" Type="http://schemas.openxmlformats.org/officeDocument/2006/relationships/hyperlink" Target="consultantplus://offline/ref=6B2715DCB5FE7ACAA0646C418FA52DF46E478300295000B8D9082E0697F727EF513D61584AEDEAA7E3009429D933B560EA787ABE63D6BDC9v4YCH" TargetMode="External"/><Relationship Id="rId36" Type="http://schemas.openxmlformats.org/officeDocument/2006/relationships/hyperlink" Target="consultantplus://offline/ref=6B2715DCB5FE7ACAA0646C418FA52DF46E478300295000B8D9082E0697F727EF513D615848E5EFA4BF5A842D9067BB7FE96E64B47DD6vBYDH" TargetMode="External"/><Relationship Id="rId37" Type="http://schemas.openxmlformats.org/officeDocument/2006/relationships/hyperlink" Target="consultantplus://offline/ref=6B2715DCB5FE7ACAA0646C418FA52DF46E478300295000B8D9082E0697F727EF513D61584AEDEBABE2009429D933B560EA787ABE63D6BDC9v4YCH" TargetMode="External"/><Relationship Id="rId38" Type="http://schemas.openxmlformats.org/officeDocument/2006/relationships/hyperlink" Target="consultantplus://offline/ref=6B2715DCB5FE7ACAA0646C418FA52DF46E4680082B5400B8D9082E0697F727EF433D39544BEEF2AFE315C2789Fv6Y6H" TargetMode="External"/><Relationship Id="rId39" Type="http://schemas.openxmlformats.org/officeDocument/2006/relationships/hyperlink" Target="consultantplus://offline/ref=6B2715DCB5FE7ACAA0646C418FA52DF46E4784092B5600B8D9082E0697F727EF513D61584AEDECACEA009429D933B560EA787ABE63D6BDC9v4YCH" TargetMode="External"/><Relationship Id="rId40" Type="http://schemas.openxmlformats.org/officeDocument/2006/relationships/hyperlink" Target="consultantplus://offline/ref=6B2715DCB5FE7ACAA0646C418FA52DF46E4784092C5400B8D9082E0697F727EF513D61584AEDECADE3009429D933B560EA787ABE63D6BDC9v4YCH" TargetMode="External"/><Relationship Id="rId41" Type="http://schemas.openxmlformats.org/officeDocument/2006/relationships/hyperlink" Target="consultantplus://offline/ref=6B2715DCB5FE7ACAA0646C418FA52DF46E4680082B5400B8D9082E0697F727EF513D61584AEDEAA8EC009429D933B560EA787ABE63D6BDC9v4YCH" TargetMode="External"/><Relationship Id="rId42" Type="http://schemas.openxmlformats.org/officeDocument/2006/relationships/hyperlink" Target="consultantplus://offline/ref=6B2715DCB5FE7ACAA0646C418FA52DF46E47840B265200B8D9082E0697F727EF513D61584AEDECADEC009429D933B560EA787ABE63D6BDC9v4YCH" TargetMode="External"/><Relationship Id="rId43" Type="http://schemas.openxmlformats.org/officeDocument/2006/relationships/hyperlink" Target="consultantplus://offline/ref=6B2715DCB5FE7ACAA0646C418FA52DF46E47840B265200B8D9082E0697F727EF513D61584AEDECADEC009429D933B560EA787ABE63D6BDC9v4YCH" TargetMode="External"/><Relationship Id="rId44" Type="http://schemas.openxmlformats.org/officeDocument/2006/relationships/hyperlink" Target="consultantplus://offline/ref=6B2715DCB5FE7ACAA0646C418FA52DF46E47840B265200B8D9082E0697F727EF513D61584AEDECADEC009429D933B560EA787ABE63D6BDC9v4YCH" TargetMode="External"/><Relationship Id="rId45" Type="http://schemas.openxmlformats.org/officeDocument/2006/relationships/hyperlink" Target="consultantplus://offline/ref=6B2715DCB5FE7ACAA0646C418FA52DF46E46850D285400B8D9082E0697F727EF513D61584AEDEBA8ED009429D933B560EA787ABE63D6BDC9v4YCH" TargetMode="External"/><Relationship Id="rId46" Type="http://schemas.openxmlformats.org/officeDocument/2006/relationships/hyperlink" Target="consultantplus://offline/ref=6B2715DCB5FE7ACAA0646C418FA52DF46E46850D285400B8D9082E0697F727EF513D615B4AE5E4A4BF5A842D9067BB7FE96E64B47DD6vBYDH" TargetMode="External"/><Relationship Id="rId47" Type="http://schemas.openxmlformats.org/officeDocument/2006/relationships/hyperlink" Target="consultantplus://offline/ref=6B2715DCB5FE7ACAA0646C418FA52DF46E4784092B5600B8D9082E0697F727EF513D61584AEDECACEA009429D933B560EA787ABE63D6BDC9v4YCH" TargetMode="External"/><Relationship Id="rId48" Type="http://schemas.openxmlformats.org/officeDocument/2006/relationships/hyperlink" Target="consultantplus://offline/ref=6B2715DCB5FE7ACAA0646C418FA52DF46E4784092B5600B8D9082E0697F727EF513D61584AEDECACEA009429D933B560EA787ABE63D6BDC9v4YCH" TargetMode="External"/><Relationship Id="rId49" Type="http://schemas.openxmlformats.org/officeDocument/2006/relationships/hyperlink" Target="consultantplus://offline/ref=6B2715DCB5FE7ACAA0646C418FA52DF46E4784092B5600B8D9082E0697F727EF513D61584AEDECACEA009429D933B560EA787ABE63D6BDC9v4YCH" TargetMode="External"/><Relationship Id="rId50" Type="http://schemas.openxmlformats.org/officeDocument/2006/relationships/hyperlink" Target="consultantplus://offline/ref=6B2715DCB5FE7ACAA0646C418FA52DF46E478300295000B8D9082E0697F727EF513D61584AECEEA7EE009429D933B560EA787ABE63D6BDC9v4YCH" TargetMode="External"/><Relationship Id="rId51" Type="http://schemas.openxmlformats.org/officeDocument/2006/relationships/hyperlink" Target="consultantplus://offline/ref=6B2715DCB5FE7ACAA0646C418FA52DF46E478300295000B8D9082E0697F727EF513D61584AECEEA7ED009429D933B560EA787ABE63D6BDC9v4YCH" TargetMode="External"/><Relationship Id="rId52" Type="http://schemas.openxmlformats.org/officeDocument/2006/relationships/hyperlink" Target="consultantplus://offline/ref=6B2715DCB5FE7ACAA0646C418FA52DF46E478300295000B8D9082E0697F727EF513D61584AECEEA7ED009429D933B560EA787ABE63D6BDC9v4YCH" TargetMode="External"/><Relationship Id="rId53" Type="http://schemas.openxmlformats.org/officeDocument/2006/relationships/hyperlink" Target="consultantplus://offline/ref=6B2715DCB5FE7ACAA0646C418FA52DF46E478300295000B8D9082E0697F727EF513D61584AECEEA6E9009429D933B560EA787ABE63D6BDC9v4YCH" TargetMode="External"/><Relationship Id="rId54" Type="http://schemas.openxmlformats.org/officeDocument/2006/relationships/hyperlink" Target="consultantplus://offline/ref=6B2715DCB5FE7ACAA0646C418FA52DF46E478300295000B8D9082E0697F727EF513D61584AECEFAEEB009429D933B560EA787ABE63D6BDC9v4YCH" TargetMode="External"/><Relationship Id="rId55" Type="http://schemas.openxmlformats.org/officeDocument/2006/relationships/hyperlink" Target="consultantplus://offline/ref=6B2715DCB5FE7ACAA0646C418FA52DF46E478300285600B8D9082E0697F727EF433D39544BEEF2AFE315C2789Fv6Y6H" TargetMode="External"/><Relationship Id="rId56" Type="http://schemas.openxmlformats.org/officeDocument/2006/relationships/hyperlink" Target="consultantplus://offline/ref=6B2715DCB5FE7ACAA0646C418FA52DF46E478300285600B8D9082E0697F727EF513D61584AEDEFA8E2009429D933B560EA787ABE63D6BDC9v4YCH" TargetMode="External"/><Relationship Id="rId57" Type="http://schemas.openxmlformats.org/officeDocument/2006/relationships/hyperlink" Target="consultantplus://offline/ref=6B2715DCB5FE7ACAA0646C418FA52DF46E478300285600B8D9082E0697F727EF513D61584AEDEFA7E9009429D933B560EA787ABE63D6BDC9v4YCH" TargetMode="External"/><Relationship Id="rId58" Type="http://schemas.openxmlformats.org/officeDocument/2006/relationships/hyperlink" Target="consultantplus://offline/ref=6B2715DCB5FE7ACAA0646C418FA52DF46E478300285600B8D9082E0697F727EF513D61584AEDE8AEEB009429D933B560EA787ABE63D6BDC9v4YCH" TargetMode="External"/><Relationship Id="rId59" Type="http://schemas.openxmlformats.org/officeDocument/2006/relationships/hyperlink" Target="consultantplus://offline/ref=6B2715DCB5FE7ACAA0646C418FA52DF46E478300285600B8D9082E0697F727EF513D61584AEDE5A7EB009429D933B560EA787ABE63D6BDC9v4YCH" TargetMode="External"/><Relationship Id="rId60" Type="http://schemas.openxmlformats.org/officeDocument/2006/relationships/hyperlink" Target="consultantplus://offline/ref=6B2715DCB5FE7ACAA0646C418FA52DF46E478300285600B8D9082E0697F727EF513D61584AEDE5A7EA009429D933B560EA787ABE63D6BDC9v4YCH" TargetMode="External"/><Relationship Id="rId61" Type="http://schemas.openxmlformats.org/officeDocument/2006/relationships/hyperlink" Target="consultantplus://offline/ref=6B2715DCB5FE7ACAA0646C418FA52DF46E478300285600B8D9082E0697F727EF513D61584AEDE8AEEB009429D933B560EA787ABE63D6BDC9v4YCH" TargetMode="External"/><Relationship Id="rId62" Type="http://schemas.openxmlformats.org/officeDocument/2006/relationships/hyperlink" Target="consultantplus://offline/ref=6B2715DCB5FE7ACAA0646C418FA52DF46E478300285600B8D9082E0697F727EF513D61584AEDEFA8E2009429D933B560EA787ABE63D6BDC9v4YCH" TargetMode="External"/><Relationship Id="rId63" Type="http://schemas.openxmlformats.org/officeDocument/2006/relationships/hyperlink" Target="consultantplus://offline/ref=6B2715DCB5FE7ACAA0646C418FA52DF46E478300285600B8D9082E0697F727EF513D61584AEDE8AEEE009429D933B560EA787ABE63D6BDC9v4YCH" TargetMode="External"/><Relationship Id="rId64" Type="http://schemas.openxmlformats.org/officeDocument/2006/relationships/hyperlink" Target="consultantplus://offline/ref=6B2715DCB5FE7ACAA0646C418FA52DF46E478300285600B8D9082E0697F727EF513D615B4BE5EEA4BF5A842D9067BB7FE96E64B47DD6vBYDH" TargetMode="External"/><Relationship Id="rId65" Type="http://schemas.openxmlformats.org/officeDocument/2006/relationships/hyperlink" Target="consultantplus://offline/ref=6B2715DCB5FE7ACAA0646C418FA52DF46E478300285600B8D9082E0697F727EF513D61584AEDE5A7E2009429D933B560EA787ABE63D6BDC9v4YCH" TargetMode="External"/><Relationship Id="rId66" Type="http://schemas.openxmlformats.org/officeDocument/2006/relationships/hyperlink" Target="consultantplus://offline/ref=6B2715DCB5FE7ACAA0646C418FA52DF46E478300285600B8D9082E0697F727EF513D61584AEDE5A6EC009429D933B560EA787ABE63D6BDC9v4YCH" TargetMode="External"/><Relationship Id="rId67" Type="http://schemas.openxmlformats.org/officeDocument/2006/relationships/hyperlink" Target="consultantplus://offline/ref=6B2715DCB5FE7ACAA0646C418FA52DF46E478300285600B8D9082E0697F727EF513D61584AEDE8ADEC009429D933B560EA787ABE63D6BDC9v4YCH" TargetMode="External"/><Relationship Id="rId68" Type="http://schemas.openxmlformats.org/officeDocument/2006/relationships/hyperlink" Target="consultantplus://offline/ref=6B2715DCB5FE7ACAA0646C418FA52DF46E4784092B5600B8D9082E0697F727EF513D61584AEDECACEA009429D933B560EA787ABE63D6BDC9v4YCH" TargetMode="External"/><Relationship Id="rId69" Type="http://schemas.openxmlformats.org/officeDocument/2006/relationships/hyperlink" Target="consultantplus://offline/ref=6B2715DCB5FE7ACAA0646C418FA52DF46E46850D285100B8D9082E0697F727EF513D61584AEDECA9EA009429D933B560EA787ABE63D6BDC9v4YCH" TargetMode="External"/><Relationship Id="rId70" Type="http://schemas.openxmlformats.org/officeDocument/2006/relationships/hyperlink" Target="consultantplus://offline/ref=6B2715DCB5FE7ACAA0646C418FA52DF46E4680082B5400B8D9082E0697F727EF513D61584AEDEAA8EC009429D933B560EA787ABE63D6BDC9v4YCH" TargetMode="External"/><Relationship Id="rId71" Type="http://schemas.openxmlformats.org/officeDocument/2006/relationships/hyperlink" Target="consultantplus://offline/ref=6B2715DCB5FE7ACAA0646C418FA52DF46E478300285600B8D9082E0697F727EF513D61584AEDE8A9E3009429D933B560EA787ABE63D6BDC9v4YCH" TargetMode="External"/><Relationship Id="rId72" Type="http://schemas.openxmlformats.org/officeDocument/2006/relationships/hyperlink" Target="consultantplus://offline/ref=6B2715DCB5FE7ACAA0646C418FA52DF46E478300285600B8D9082E0697F727EF513D61584AEDEBA8ED009429D933B560EA787ABE63D6BDC9v4YCH" TargetMode="External"/><Relationship Id="rId73" Type="http://schemas.openxmlformats.org/officeDocument/2006/relationships/hyperlink" Target="consultantplus://offline/ref=6B2715DCB5FE7ACAA0646C418FA52DF46E478300285600B8D9082E0697F727EF513D615B4EEFEDA4BF5A842D9067BB7FE96E64B47DD6vBYDH" TargetMode="External"/><Relationship Id="rId74" Type="http://schemas.openxmlformats.org/officeDocument/2006/relationships/hyperlink" Target="consultantplus://offline/ref=6B2715DCB5FE7ACAA0646C418FA52DF46E478300285600B8D9082E0697F727EF513D61584AEDE4A9E8009429D933B560EA787ABE63D6BDC9v4YCH" TargetMode="External"/><Relationship Id="rId75" Type="http://schemas.openxmlformats.org/officeDocument/2006/relationships/hyperlink" Target="consultantplus://offline/ref=6B2715DCB5FE7ACAA0646C418FA52DF46E478300285600B8D9082E0697F727EF513D61584AEDEBA8ED009429D933B560EA787ABE63D6BDC9v4YCH" TargetMode="External"/><Relationship Id="rId76" Type="http://schemas.openxmlformats.org/officeDocument/2006/relationships/hyperlink" Target="consultantplus://offline/ref=6B2715DCB5FE7ACAA0646C418FA52DF46E46850D285100B8D9082E0697F727EF513D61584AEDEBABE2009429D933B560EA787ABE63D6BDC9v4YCH" TargetMode="External"/><Relationship Id="rId77" Type="http://schemas.openxmlformats.org/officeDocument/2006/relationships/hyperlink" Target="consultantplus://offline/ref=6B2715DCB5FE7ACAA0646C418FA52DF46E478300285600B8D9082E0697F727EF513D61584AECEDAEE3009429D933B560EA787ABE63D6BDC9v4YCH" TargetMode="External"/><Relationship Id="rId78" Type="http://schemas.openxmlformats.org/officeDocument/2006/relationships/hyperlink" Target="consultantplus://offline/ref=6B2715DCB5FE7ACAA0646C418FA52DF46E478300285600B8D9082E0697F727EF513D61514AEFE7FBBA4F95759C65A661E17878B67FvDY4H" TargetMode="External"/><Relationship Id="rId79" Type="http://schemas.openxmlformats.org/officeDocument/2006/relationships/hyperlink" Target="consultantplus://offline/ref=6B2715DCB5FE7ACAA0646C418FA52DF46E46850D285100B8D9082E0697F727EF513D61584AEDEBABE2009429D933B560EA787ABE63D6BDC9v4YCH" TargetMode="External"/><Relationship Id="rId80" Type="http://schemas.openxmlformats.org/officeDocument/2006/relationships/hyperlink" Target="consultantplus://offline/ref=6B2715DCB5FE7ACAA0646C418FA52DF46E478300285600B8D9082E0697F727EF513D615843EFEDA4BF5A842D9067BB7FE96E64B47DD6vBYDH" TargetMode="External"/><Relationship Id="rId81" Type="http://schemas.openxmlformats.org/officeDocument/2006/relationships/hyperlink" Target="consultantplus://offline/ref=6B2715DCB5FE7ACAA0646C418FA52DF46E478300285600B8D9082E0697F727EF513D615B4AE5EDA4BF5A842D9067BB7FE96E64B47DD6vBYDH" TargetMode="External"/><Relationship Id="rId82" Type="http://schemas.openxmlformats.org/officeDocument/2006/relationships/fontTable" Target="fontTable.xml"/><Relationship Id="rId83" Type="http://schemas.openxmlformats.org/officeDocument/2006/relationships/settings" Target="settings.xml"/><Relationship Id="rId8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LibreOffice/6.3.3.2$Windows_x86 LibreOffice_project/a64200df03143b798afd1ec74a12ab50359878ed</Application>
  <Pages>60</Pages>
  <Words>23280</Words>
  <Characters>175498</Characters>
  <CharactersWithSpaces>198285</CharactersWithSpaces>
  <Paragraphs>493</Paragraphs>
  <Company>Администрация Погарского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2020-08-13T07:24:00Z</dcterms:created>
  <dc:creator>User</dc:creator>
  <dc:description/>
  <dc:language>ru-RU</dc:language>
  <cp:lastModifiedBy/>
  <dcterms:modified xsi:type="dcterms:W3CDTF">2020-08-13T11:31:21Z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 Погарского района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