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jc w:val="right"/>
        <w:rPr>
          <w:b/>
          <w:b/>
          <w:sz w:val="28"/>
        </w:rPr>
      </w:pPr>
      <w:bookmarkStart w:id="0" w:name="_GoBack"/>
      <w:bookmarkEnd w:id="0"/>
      <w:r>
        <w:rPr>
          <w:b/>
          <w:sz w:val="28"/>
        </w:rPr>
        <w:t>УТВЕРЖДЕНО</w:t>
      </w:r>
    </w:p>
    <w:p>
      <w:pPr>
        <w:pStyle w:val="Normal"/>
        <w:widowControl w:val="false"/>
        <w:jc w:val="right"/>
        <w:rPr>
          <w:sz w:val="28"/>
        </w:rPr>
      </w:pPr>
      <w:r>
        <w:rPr>
          <w:sz w:val="28"/>
        </w:rPr>
        <w:t>решением Коллегии</w:t>
      </w:r>
    </w:p>
    <w:p>
      <w:pPr>
        <w:pStyle w:val="Normal"/>
        <w:widowControl w:val="false"/>
        <w:jc w:val="right"/>
        <w:rPr>
          <w:sz w:val="28"/>
        </w:rPr>
      </w:pPr>
      <w:r>
        <w:rPr>
          <w:sz w:val="28"/>
        </w:rPr>
        <w:t>Контрольно-счётной палаты</w:t>
      </w:r>
    </w:p>
    <w:p>
      <w:pPr>
        <w:pStyle w:val="Normal"/>
        <w:widowControl w:val="false"/>
        <w:jc w:val="right"/>
        <w:rPr>
          <w:sz w:val="28"/>
        </w:rPr>
      </w:pPr>
      <w:r>
        <w:rPr>
          <w:sz w:val="28"/>
        </w:rPr>
        <w:t>Погарского района</w:t>
      </w:r>
    </w:p>
    <w:p>
      <w:pPr>
        <w:pStyle w:val="Normal"/>
        <w:widowControl w:val="false"/>
        <w:jc w:val="right"/>
        <w:rPr>
          <w:sz w:val="28"/>
        </w:rPr>
      </w:pPr>
      <w:r>
        <w:rPr>
          <w:sz w:val="28"/>
        </w:rPr>
        <w:t xml:space="preserve">от 30.03.2012 года №4 </w:t>
      </w:r>
    </w:p>
    <w:p>
      <w:pPr>
        <w:pStyle w:val="Normal"/>
        <w:widowControl w:val="false"/>
        <w:jc w:val="right"/>
        <w:rPr>
          <w:sz w:val="28"/>
        </w:rPr>
      </w:pPr>
      <w:r>
        <w:rPr>
          <w:sz w:val="28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Style29"/>
        <w:tabs>
          <w:tab w:val="left" w:pos="567" w:leader="none"/>
          <w:tab w:val="center" w:pos="4677" w:leader="none"/>
          <w:tab w:val="right" w:pos="9355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СТАНДАРТ ОРГАНИЗАЦИИ ДЕЯТЕЛЬНОСТИ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КОН</w:t>
      </w:r>
      <w:r>
        <w:rPr>
          <w:b/>
          <w:sz w:val="28"/>
          <w:szCs w:val="28"/>
          <w:lang w:val="en-US"/>
        </w:rPr>
        <w:t>Т</w:t>
      </w:r>
      <w:r>
        <w:rPr>
          <w:b/>
          <w:sz w:val="28"/>
          <w:szCs w:val="28"/>
          <w:lang w:val="ru-RU"/>
        </w:rPr>
        <w:t>РОЛЬНО</w:t>
      </w:r>
      <w:r>
        <w:rPr>
          <w:b/>
          <w:sz w:val="28"/>
          <w:szCs w:val="28"/>
        </w:rPr>
        <w:t xml:space="preserve"> – СЧЁТНОЙ ПАЛАТЫ ПОГАРСКОГО РАЙОНА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 3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 ОТЧЁТА О РАБОТЕ КОНТРОЛЬНО-СЧЕТНОЙ ПАЛАТЫ ПОГАРСКОГО РАЙОНА »</w:t>
      </w:r>
    </w:p>
    <w:p>
      <w:pPr>
        <w:pStyle w:val="Normal"/>
        <w:widowControl w:val="false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</w:r>
    </w:p>
    <w:p>
      <w:pPr>
        <w:pStyle w:val="Normal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</w:r>
    </w:p>
    <w:p>
      <w:pPr>
        <w:pStyle w:val="Normal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                                                           </w:t>
      </w:r>
      <w:r>
        <w:rPr>
          <w:bCs/>
          <w:caps/>
          <w:sz w:val="28"/>
          <w:szCs w:val="28"/>
        </w:rPr>
        <w:t>ПОГАР</w:t>
      </w:r>
    </w:p>
    <w:p>
      <w:pPr>
        <w:pStyle w:val="Normal"/>
        <w:rPr>
          <w:sz w:val="28"/>
          <w:szCs w:val="28"/>
        </w:rPr>
      </w:pPr>
      <w:r>
        <w:rPr>
          <w:bCs/>
          <w:caps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2012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widowControl w:val="false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Структура и формирование Годового отчета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Правила формирования Годового отчета</w:t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3"/>
        </w:numPr>
        <w:jc w:val="center"/>
        <w:rPr>
          <w:b/>
          <w:b/>
        </w:rPr>
      </w:pPr>
      <w:r>
        <w:rPr>
          <w:b/>
        </w:rPr>
        <w:t>Общие положения</w:t>
      </w:r>
    </w:p>
    <w:p>
      <w:pPr>
        <w:pStyle w:val="Normal"/>
        <w:widowControl w:val="false"/>
        <w:ind w:left="709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20"/>
        <w:jc w:val="both"/>
        <w:rPr/>
      </w:pPr>
      <w:r>
        <w:rPr/>
        <w:t>СОД 3 «Порядок подготовки отчета о работе Контрольно-счетной палаты Погарского района» (далее – Стандарт) составлен в соответствии с Положением «О Контрольно-счетной палате Погарского района» и Регламентом Контрольно-счетной палаты Погарского района.</w:t>
      </w:r>
    </w:p>
    <w:p>
      <w:pPr>
        <w:pStyle w:val="Normal"/>
        <w:widowControl w:val="false"/>
        <w:tabs>
          <w:tab w:val="clear" w:pos="708"/>
          <w:tab w:val="left" w:pos="900" w:leader="none"/>
          <w:tab w:val="left" w:pos="1080" w:leader="none"/>
        </w:tabs>
        <w:ind w:firstLine="720"/>
        <w:jc w:val="both"/>
        <w:rPr/>
      </w:pPr>
      <w:r>
        <w:rPr/>
        <w:t>Стандарт определяет правила подготовки проекта отчета о работе Контрольно-счетной палаты  Погарского района в предыдущем году (далее – Годовой отчет).</w:t>
      </w:r>
    </w:p>
    <w:p>
      <w:pPr>
        <w:pStyle w:val="Normal"/>
        <w:widowControl w:val="false"/>
        <w:tabs>
          <w:tab w:val="clear" w:pos="708"/>
          <w:tab w:val="left" w:pos="900" w:leader="none"/>
          <w:tab w:val="left" w:pos="1080" w:leader="none"/>
        </w:tabs>
        <w:ind w:firstLine="720"/>
        <w:jc w:val="both"/>
        <w:rPr/>
      </w:pPr>
      <w:r>
        <w:rPr/>
        <w:t>Стандарт определяет структуру отчетов о работе Контрольно-счетной палаты  Погарского района (далее – Контрольно-счетная палата), схему организации работы по подготовке проектов отчетов, общие требования к представлению документов и материалов к формированию отчетов.</w:t>
      </w:r>
    </w:p>
    <w:p>
      <w:pPr>
        <w:pStyle w:val="Normal"/>
        <w:widowControl w:val="false"/>
        <w:tabs>
          <w:tab w:val="clear" w:pos="708"/>
          <w:tab w:val="left" w:pos="900" w:leader="none"/>
          <w:tab w:val="left" w:pos="1080" w:leader="none"/>
        </w:tabs>
        <w:ind w:firstLine="720"/>
        <w:jc w:val="both"/>
        <w:rPr/>
      </w:pPr>
      <w:r>
        <w:rPr/>
        <w:t>Информация по результатам работы направлений деятельности Контрольно-счетной палаты готовится на основе данных и с использованием средств Комплекса программных средств «ПКОД».</w:t>
      </w:r>
    </w:p>
    <w:p>
      <w:pPr>
        <w:pStyle w:val="Normal"/>
        <w:widowControl w:val="false"/>
        <w:tabs>
          <w:tab w:val="clear" w:pos="708"/>
          <w:tab w:val="left" w:pos="900" w:leader="none"/>
          <w:tab w:val="left" w:pos="1080" w:leader="none"/>
        </w:tabs>
        <w:ind w:firstLine="720"/>
        <w:jc w:val="both"/>
        <w:rPr/>
      </w:pPr>
      <w:r>
        <w:rPr/>
      </w:r>
    </w:p>
    <w:p>
      <w:pPr>
        <w:pStyle w:val="Normal"/>
        <w:widowControl w:val="false"/>
        <w:spacing w:lineRule="auto" w:line="360"/>
        <w:jc w:val="center"/>
        <w:rPr>
          <w:b/>
          <w:b/>
        </w:rPr>
      </w:pPr>
      <w:r>
        <w:rPr>
          <w:b/>
        </w:rPr>
        <w:t>2. Структура и формирование Годового отчета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20"/>
        <w:jc w:val="both"/>
        <w:rPr>
          <w:b/>
          <w:b/>
        </w:rPr>
      </w:pPr>
      <w:r>
        <w:rPr/>
        <w:t>Годовой отчет состоит из сводной части и годовых отчетов о работе направлений деятельности Контрольно-счетной палаты.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ind w:firstLine="720"/>
        <w:jc w:val="both"/>
        <w:rPr/>
      </w:pPr>
      <w:r>
        <w:rPr/>
        <w:t>Сводная часть Годового отчета содержит общие данные, характеризующие работу Контрольно-счетной палаты в целом, и их анализ. Сводная часть Годового отчета включает следующие разделы и подразделы</w:t>
      </w:r>
      <w:r>
        <w:rPr>
          <w:rStyle w:val="Style18"/>
        </w:rPr>
        <w:footnoteReference w:id="2"/>
      </w:r>
      <w:r>
        <w:rPr/>
        <w:t>:</w:t>
      </w:r>
    </w:p>
    <w:p>
      <w:pPr>
        <w:pStyle w:val="1"/>
        <w:keepNext w:val="false"/>
        <w:widowControl w:val="false"/>
        <w:tabs>
          <w:tab w:val="clear" w:pos="708"/>
          <w:tab w:val="left" w:pos="2203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1. Вводные положения</w:t>
      </w:r>
    </w:p>
    <w:p>
      <w:pPr>
        <w:pStyle w:val="Normal"/>
        <w:widowControl w:val="false"/>
        <w:tabs>
          <w:tab w:val="clear" w:pos="708"/>
          <w:tab w:val="left" w:pos="1800" w:leader="none"/>
          <w:tab w:val="left" w:pos="1980" w:leader="none"/>
        </w:tabs>
        <w:ind w:firstLine="720"/>
        <w:rPr/>
      </w:pPr>
      <w:r>
        <w:rPr/>
        <w:t>1.1. Компетенция Контрольно-счетной палаты</w:t>
      </w:r>
    </w:p>
    <w:p>
      <w:pPr>
        <w:pStyle w:val="Normal"/>
        <w:widowControl w:val="false"/>
        <w:tabs>
          <w:tab w:val="clear" w:pos="708"/>
          <w:tab w:val="left" w:pos="1800" w:leader="none"/>
          <w:tab w:val="left" w:pos="1980" w:leader="none"/>
        </w:tabs>
        <w:ind w:firstLine="720"/>
        <w:rPr/>
      </w:pPr>
      <w:r>
        <w:rPr/>
        <w:t>1.2. Задачи Контрольно-счетной палаты</w:t>
      </w:r>
    </w:p>
    <w:p>
      <w:pPr>
        <w:pStyle w:val="Normal"/>
        <w:widowControl w:val="false"/>
        <w:tabs>
          <w:tab w:val="clear" w:pos="708"/>
          <w:tab w:val="left" w:pos="1800" w:leader="none"/>
        </w:tabs>
        <w:ind w:firstLine="720"/>
        <w:jc w:val="both"/>
        <w:rPr/>
      </w:pPr>
      <w:r>
        <w:rPr/>
        <w:t>1.3. Виды деятельности Контрольно-счетной палаты, формы и методы  осуществляемого ею контроля</w:t>
      </w:r>
    </w:p>
    <w:p>
      <w:pPr>
        <w:pStyle w:val="Normal"/>
        <w:widowControl w:val="false"/>
        <w:tabs>
          <w:tab w:val="clear" w:pos="708"/>
          <w:tab w:val="left" w:pos="1800" w:leader="none"/>
          <w:tab w:val="left" w:pos="1980" w:leader="none"/>
        </w:tabs>
        <w:ind w:firstLine="720"/>
        <w:jc w:val="both"/>
        <w:rPr/>
      </w:pPr>
      <w:r>
        <w:rPr/>
        <w:t>1.4. Приоритеты в работе в отчетном году</w:t>
      </w:r>
    </w:p>
    <w:p>
      <w:pPr>
        <w:pStyle w:val="Normal"/>
        <w:widowControl w:val="false"/>
        <w:tabs>
          <w:tab w:val="clear" w:pos="708"/>
          <w:tab w:val="left" w:pos="1800" w:leader="none"/>
          <w:tab w:val="left" w:pos="1980" w:leader="none"/>
        </w:tabs>
        <w:ind w:firstLine="720"/>
        <w:jc w:val="both"/>
        <w:rPr/>
      </w:pPr>
      <w:r>
        <w:rPr/>
        <w:t>1.5. Основные итоги работы в отчетном году</w:t>
      </w:r>
    </w:p>
    <w:p>
      <w:pPr>
        <w:pStyle w:val="Style30"/>
        <w:widowControl w:val="false"/>
        <w:tabs>
          <w:tab w:val="clear" w:pos="708"/>
          <w:tab w:val="left" w:pos="2203" w:leader="none"/>
        </w:tabs>
        <w:spacing w:lineRule="auto" w:line="240"/>
        <w:ind w:right="14" w:firstLine="720"/>
        <w:rPr>
          <w:sz w:val="24"/>
        </w:rPr>
      </w:pPr>
      <w:r>
        <w:rPr>
          <w:sz w:val="24"/>
        </w:rPr>
        <w:t>2. Контроль за формированием и исполнением районного бюджета Погарского района</w:t>
      </w:r>
    </w:p>
    <w:p>
      <w:pPr>
        <w:pStyle w:val="Style30"/>
        <w:widowControl w:val="false"/>
        <w:tabs>
          <w:tab w:val="clear" w:pos="708"/>
          <w:tab w:val="left" w:pos="108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2.1. Предварительный контроль</w:t>
      </w:r>
    </w:p>
    <w:p>
      <w:pPr>
        <w:pStyle w:val="Style30"/>
        <w:widowControl w:val="false"/>
        <w:tabs>
          <w:tab w:val="clear" w:pos="708"/>
          <w:tab w:val="left" w:pos="198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2.2. Оперативный контроль</w:t>
      </w:r>
    </w:p>
    <w:p>
      <w:pPr>
        <w:pStyle w:val="Style30"/>
        <w:widowControl w:val="false"/>
        <w:tabs>
          <w:tab w:val="clear" w:pos="708"/>
          <w:tab w:val="left" w:pos="198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2.3. Последующий контроль</w:t>
      </w:r>
    </w:p>
    <w:p>
      <w:pPr>
        <w:pStyle w:val="Style30"/>
        <w:widowControl w:val="false"/>
        <w:tabs>
          <w:tab w:val="clear" w:pos="708"/>
          <w:tab w:val="left" w:pos="1080" w:leader="none"/>
          <w:tab w:val="left" w:pos="198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2.4. Меры, принимаемые по результатам контроля за формированием и исполнением районного бюджета Погарского района</w:t>
      </w:r>
    </w:p>
    <w:p>
      <w:pPr>
        <w:pStyle w:val="Style30"/>
        <w:widowControl w:val="false"/>
        <w:tabs>
          <w:tab w:val="clear" w:pos="708"/>
          <w:tab w:val="left" w:pos="540" w:leader="none"/>
          <w:tab w:val="left" w:pos="2203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3. Контрольная деятельность</w:t>
      </w:r>
    </w:p>
    <w:p>
      <w:pPr>
        <w:pStyle w:val="Style30"/>
        <w:widowControl w:val="false"/>
        <w:tabs>
          <w:tab w:val="clear" w:pos="708"/>
          <w:tab w:val="left" w:pos="198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3.1. Характеристика контрольных мероприятий</w:t>
      </w:r>
    </w:p>
    <w:p>
      <w:pPr>
        <w:pStyle w:val="Style30"/>
        <w:widowControl w:val="false"/>
        <w:tabs>
          <w:tab w:val="clear" w:pos="708"/>
          <w:tab w:val="left" w:pos="198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3.2. Основные оценки по результатам контроля</w:t>
      </w:r>
    </w:p>
    <w:p>
      <w:pPr>
        <w:pStyle w:val="Style30"/>
        <w:widowControl w:val="false"/>
        <w:tabs>
          <w:tab w:val="clear" w:pos="708"/>
          <w:tab w:val="left" w:pos="198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 xml:space="preserve">3.3. Ущерб государству, нецелевое использование средств бюджетной системы и иные финансовые нарушения </w:t>
      </w:r>
    </w:p>
    <w:p>
      <w:pPr>
        <w:pStyle w:val="Style30"/>
        <w:widowControl w:val="false"/>
        <w:tabs>
          <w:tab w:val="clear" w:pos="708"/>
          <w:tab w:val="left" w:pos="216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 xml:space="preserve">3.4. </w:t>
      </w:r>
      <w:r>
        <w:rPr>
          <w:spacing w:val="-6"/>
          <w:sz w:val="24"/>
        </w:rPr>
        <w:t>Меры, принимаемые по результатам контрольных мероприятий</w:t>
      </w:r>
    </w:p>
    <w:p>
      <w:pPr>
        <w:pStyle w:val="Style30"/>
        <w:widowControl w:val="false"/>
        <w:tabs>
          <w:tab w:val="clear" w:pos="708"/>
          <w:tab w:val="left" w:pos="216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3.5. Меры, принятые по устранению нарушений, выявленных Контрольно-счетной палатой</w:t>
      </w:r>
    </w:p>
    <w:p>
      <w:pPr>
        <w:pStyle w:val="Style30"/>
        <w:widowControl w:val="false"/>
        <w:tabs>
          <w:tab w:val="clear" w:pos="708"/>
          <w:tab w:val="left" w:pos="540" w:leader="none"/>
          <w:tab w:val="left" w:pos="1620" w:leader="none"/>
          <w:tab w:val="left" w:pos="1701" w:leader="none"/>
          <w:tab w:val="left" w:pos="2203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4. Экспертно-аналитическая деятельность</w:t>
      </w:r>
    </w:p>
    <w:p>
      <w:pPr>
        <w:pStyle w:val="Style30"/>
        <w:widowControl w:val="false"/>
        <w:spacing w:lineRule="auto" w:line="240"/>
        <w:ind w:firstLine="720"/>
        <w:rPr>
          <w:sz w:val="24"/>
        </w:rPr>
      </w:pPr>
      <w:r>
        <w:rPr>
          <w:sz w:val="24"/>
        </w:rPr>
        <w:t>4.1. Экспертиза проектов нормативно-правовых актов Погарского района</w:t>
      </w:r>
    </w:p>
    <w:p>
      <w:pPr>
        <w:pStyle w:val="Style30"/>
        <w:widowControl w:val="false"/>
        <w:spacing w:lineRule="auto" w:line="240"/>
        <w:ind w:firstLine="720"/>
        <w:jc w:val="left"/>
        <w:rPr>
          <w:sz w:val="24"/>
        </w:rPr>
      </w:pPr>
      <w:r>
        <w:rPr>
          <w:sz w:val="24"/>
        </w:rPr>
        <w:t>4.2. Предложения по совершенствованию законодательства</w:t>
      </w:r>
    </w:p>
    <w:p>
      <w:pPr>
        <w:pStyle w:val="Style30"/>
        <w:widowControl w:val="false"/>
        <w:spacing w:lineRule="auto" w:line="240"/>
        <w:ind w:firstLine="720"/>
        <w:rPr>
          <w:sz w:val="24"/>
        </w:rPr>
      </w:pPr>
      <w:r>
        <w:rPr>
          <w:sz w:val="24"/>
        </w:rPr>
        <w:t>4.3. Иная экспертно-аналитическая работа</w:t>
      </w:r>
    </w:p>
    <w:p>
      <w:pPr>
        <w:pStyle w:val="Style30"/>
        <w:widowControl w:val="false"/>
        <w:tabs>
          <w:tab w:val="clear" w:pos="708"/>
          <w:tab w:val="left" w:pos="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5. Важнейшие итоги контрольной и экспертно-аналитической деятельности по направлениям деятельности Контрольно-счетной палаты:</w:t>
      </w:r>
    </w:p>
    <w:p>
      <w:pPr>
        <w:pStyle w:val="Normal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контроль за эффективностью исполнения бюджета, поступлением доходов районного бюджета, управлением муниципальной собственностью и межбюджетными отношениями;</w:t>
      </w:r>
    </w:p>
    <w:p>
      <w:pPr>
        <w:pStyle w:val="Normal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контроль за целевым и эффективным расходованием бюджетных средств, выделенных на социальную сферу;</w:t>
      </w:r>
    </w:p>
    <w:p>
      <w:pPr>
        <w:pStyle w:val="Normal"/>
        <w:shd w:val="clear" w:color="auto" w:fill="FFFFFF"/>
        <w:ind w:firstLine="720"/>
        <w:jc w:val="both"/>
        <w:rPr>
          <w:color w:val="000000"/>
        </w:rPr>
      </w:pPr>
      <w:r>
        <w:rPr/>
        <w:t>контроль за целевым и эффективным расходованием бюджетных средств в  муниципальном управлении, промышленной и аграрной сфере, жилищно-коммунальном хозяйстве.</w:t>
      </w:r>
    </w:p>
    <w:p>
      <w:pPr>
        <w:pStyle w:val="Style30"/>
        <w:widowControl w:val="false"/>
        <w:tabs>
          <w:tab w:val="clear" w:pos="708"/>
          <w:tab w:val="left" w:pos="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6. Информирование общественности и взаимодействие Контрольно-счетной палаты</w:t>
      </w:r>
    </w:p>
    <w:p>
      <w:pPr>
        <w:pStyle w:val="Style30"/>
        <w:widowControl w:val="false"/>
        <w:tabs>
          <w:tab w:val="clear" w:pos="708"/>
          <w:tab w:val="left" w:pos="1701" w:leader="none"/>
          <w:tab w:val="left" w:pos="216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6.1. Информирование общественности</w:t>
      </w:r>
    </w:p>
    <w:p>
      <w:pPr>
        <w:pStyle w:val="Style30"/>
        <w:widowControl w:val="false"/>
        <w:tabs>
          <w:tab w:val="clear" w:pos="708"/>
          <w:tab w:val="left" w:pos="1701" w:leader="none"/>
          <w:tab w:val="left" w:pos="216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 xml:space="preserve">6.2. Взаимодействие  с Контрольно-счётной палатой Брянской области </w:t>
      </w:r>
    </w:p>
    <w:p>
      <w:pPr>
        <w:pStyle w:val="Style30"/>
        <w:widowControl w:val="false"/>
        <w:tabs>
          <w:tab w:val="clear" w:pos="708"/>
          <w:tab w:val="left" w:pos="1701" w:leader="none"/>
          <w:tab w:val="left" w:pos="216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6.3. Взаимодействие с  районными органами государственной власти</w:t>
      </w:r>
    </w:p>
    <w:p>
      <w:pPr>
        <w:pStyle w:val="Style30"/>
        <w:widowControl w:val="false"/>
        <w:tabs>
          <w:tab w:val="clear" w:pos="708"/>
          <w:tab w:val="left" w:pos="540" w:leader="none"/>
          <w:tab w:val="left" w:pos="2203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7. Обеспечение деятельности Контрольно-счетной палаты</w:t>
      </w:r>
    </w:p>
    <w:p>
      <w:pPr>
        <w:pStyle w:val="Style30"/>
        <w:widowControl w:val="false"/>
        <w:tabs>
          <w:tab w:val="clear" w:pos="708"/>
          <w:tab w:val="left" w:pos="198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7.1. Организационное и документационное обеспечение деятельности Контрольно-счетной палаты</w:t>
      </w:r>
    </w:p>
    <w:p>
      <w:pPr>
        <w:pStyle w:val="Style30"/>
        <w:widowControl w:val="false"/>
        <w:tabs>
          <w:tab w:val="clear" w:pos="708"/>
          <w:tab w:val="left" w:pos="234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7.2. Правовое обеспечение деятельности Контрольно-счетной палаты</w:t>
      </w:r>
    </w:p>
    <w:p>
      <w:pPr>
        <w:pStyle w:val="Style30"/>
        <w:widowControl w:val="false"/>
        <w:tabs>
          <w:tab w:val="clear" w:pos="708"/>
          <w:tab w:val="left" w:pos="234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7.3. Методологическое и аналитическое обеспечение деятельности Контрольно-счетной палаты</w:t>
      </w:r>
    </w:p>
    <w:p>
      <w:pPr>
        <w:pStyle w:val="Style30"/>
        <w:widowControl w:val="false"/>
        <w:tabs>
          <w:tab w:val="clear" w:pos="708"/>
          <w:tab w:val="left" w:pos="234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7.4. Информационно-технологическое обеспечение деятельности Контрольно-счетной палаты</w:t>
      </w:r>
    </w:p>
    <w:p>
      <w:pPr>
        <w:pStyle w:val="Style30"/>
        <w:widowControl w:val="false"/>
        <w:tabs>
          <w:tab w:val="clear" w:pos="708"/>
          <w:tab w:val="left" w:pos="234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7.5. Кадровое обеспечение деятельности Контрольно-счетной палаты</w:t>
      </w:r>
    </w:p>
    <w:p>
      <w:pPr>
        <w:pStyle w:val="Style30"/>
        <w:widowControl w:val="false"/>
        <w:tabs>
          <w:tab w:val="clear" w:pos="708"/>
          <w:tab w:val="left" w:pos="234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7.6. Финансовое и материально-техническое обеспечение деятельности Контрольно-счетной палаты</w:t>
      </w:r>
    </w:p>
    <w:p>
      <w:pPr>
        <w:pStyle w:val="Style30"/>
        <w:widowControl w:val="false"/>
        <w:tabs>
          <w:tab w:val="clear" w:pos="708"/>
          <w:tab w:val="left" w:pos="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8. Выводы и предложения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ind w:firstLine="720"/>
        <w:jc w:val="both"/>
        <w:rPr/>
      </w:pPr>
      <w:r>
        <w:rPr/>
        <w:t>В качестве приложений к Годовому отчету могут приводиться необходимые количественные и фактографические данные, в том числе:</w:t>
      </w:r>
    </w:p>
    <w:p>
      <w:pPr>
        <w:pStyle w:val="BodyTextIndent2"/>
        <w:widowControl w:val="false"/>
        <w:tabs>
          <w:tab w:val="clear" w:pos="708"/>
          <w:tab w:val="left" w:pos="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Основные показатели деятельности Контрольно-счетной палаты в отчетном году</w:t>
      </w:r>
    </w:p>
    <w:p>
      <w:pPr>
        <w:pStyle w:val="Normal"/>
        <w:widowControl w:val="false"/>
        <w:tabs>
          <w:tab w:val="clear" w:pos="708"/>
          <w:tab w:val="left" w:pos="1260" w:leader="none"/>
        </w:tabs>
        <w:ind w:firstLine="720"/>
        <w:jc w:val="both"/>
        <w:rPr/>
      </w:pPr>
      <w:r>
        <w:rPr/>
        <w:t>Структура финансовых нарушений, выявленных Контрольно-счетной палатой в отчетном году</w:t>
      </w:r>
    </w:p>
    <w:p>
      <w:pPr>
        <w:pStyle w:val="Normal"/>
        <w:widowControl w:val="false"/>
        <w:tabs>
          <w:tab w:val="clear" w:pos="708"/>
          <w:tab w:val="left" w:pos="1260" w:leader="none"/>
        </w:tabs>
        <w:ind w:firstLine="720"/>
        <w:jc w:val="both"/>
        <w:rPr/>
      </w:pPr>
      <w:r>
        <w:rPr/>
        <w:t xml:space="preserve">Количественные данные о выполнении представлений и предписаний Контрольно-счетной палаты в отчетном году 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ind w:firstLine="720"/>
        <w:jc w:val="both"/>
        <w:rPr/>
      </w:pPr>
      <w:r>
        <w:rPr/>
        <w:t>Годовые отчеты о работе направлений деятельности Контрольно-счетной палаты готовится специалистом в соответствии со структурой разделов 2, 3 и 4 сводной части Годового отчета. Объем годового отчета о работе направления деятельности Контрольно-счетной палаты составляет до 10 машинописных листов.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ind w:firstLine="720"/>
        <w:jc w:val="both"/>
        <w:rPr/>
      </w:pPr>
      <w:r>
        <w:rPr/>
        <w:t>Подготовка проекта сводной части Годового отчета осуществляется в соответствии со схемой организации работы, утверждаемой приказом председателя Контрольно-счетной палаты.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ind w:firstLine="720"/>
        <w:jc w:val="both"/>
        <w:rPr/>
      </w:pPr>
      <w:r>
        <w:rPr/>
        <w:t>Годовые отчеты о работе направлений деятельности Контрольно-счетной палаты представляется сотрудником Контрольно-счетной палаты председателю Контрольно-счетной палаты до 14 января года, следующего за отчетным.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ind w:firstLine="720"/>
        <w:jc w:val="both"/>
        <w:rPr/>
      </w:pPr>
      <w:r>
        <w:rPr/>
        <w:t>Проект сводной части Годового отчета представляется Председателю Контрольно-счетной палаты до 25 января следующего за отчетным года.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ind w:firstLine="720"/>
        <w:jc w:val="both"/>
        <w:rPr/>
      </w:pPr>
      <w:r>
        <w:rPr/>
        <w:t>Проект Годового отчета вносится на рассмотрение Коллегии Контрольно-счетной палаты председателем Контрольно-счетной палаты.</w:t>
      </w:r>
    </w:p>
    <w:p>
      <w:pPr>
        <w:pStyle w:val="Normal"/>
        <w:widowControl w:val="false"/>
        <w:tabs>
          <w:tab w:val="clear" w:pos="708"/>
          <w:tab w:val="left" w:pos="1276" w:leader="none"/>
        </w:tabs>
        <w:ind w:firstLine="72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276" w:leader="none"/>
        </w:tabs>
        <w:ind w:firstLine="720"/>
        <w:jc w:val="both"/>
        <w:rPr/>
      </w:pPr>
      <w:r>
        <w:rPr/>
      </w:r>
    </w:p>
    <w:p>
      <w:pPr>
        <w:pStyle w:val="Normal"/>
        <w:widowControl w:val="false"/>
        <w:tabs>
          <w:tab w:val="clear" w:pos="708"/>
          <w:tab w:val="left" w:pos="1276" w:leader="none"/>
        </w:tabs>
        <w:ind w:firstLine="720"/>
        <w:jc w:val="both"/>
        <w:rPr/>
      </w:pPr>
      <w:r>
        <w:rPr/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3. Правила формирования отчетов о работе Контрольно-счетной палаты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BodyTextIndent2"/>
        <w:widowControl w:val="false"/>
        <w:tabs>
          <w:tab w:val="clear" w:pos="708"/>
          <w:tab w:val="left" w:pos="1276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Учет количества проведенных контрольных и экспертно-аналитических мероприятий осуществляется по исполненным пунктам плана работы Контрольно-счетной палаты (завершенным контрольным и экспертно-аналитическим мероприятиям). Контрольные и экспертно-аналитические мероприятия учитываются раздельно.</w:t>
      </w:r>
    </w:p>
    <w:p>
      <w:pPr>
        <w:pStyle w:val="BodyTextIndent2"/>
        <w:widowControl w:val="false"/>
        <w:tabs>
          <w:tab w:val="clear" w:pos="708"/>
          <w:tab w:val="left" w:pos="1276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В годовых отчетах приводятся данные только по завершенным контрольным и экспертно-аналитическим мероприятиям (отчеты и иные документы, по результатам которых утверждены Коллегией Контрольно-счетной палаты).</w:t>
      </w:r>
    </w:p>
    <w:p>
      <w:pPr>
        <w:pStyle w:val="BodyTextIndent2"/>
        <w:widowControl w:val="false"/>
        <w:tabs>
          <w:tab w:val="clear" w:pos="708"/>
          <w:tab w:val="left" w:pos="1276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 xml:space="preserve">В отчетах о работе каждое контрольное и экспертно-аналитическое мероприятие учитывается: </w:t>
      </w:r>
    </w:p>
    <w:p>
      <w:pPr>
        <w:pStyle w:val="BodyTextIndent2"/>
        <w:widowControl w:val="false"/>
        <w:tabs>
          <w:tab w:val="clear" w:pos="708"/>
          <w:tab w:val="left" w:pos="162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1. По отношению к контролю формирования и исполнения районного бюджета как:</w:t>
      </w:r>
    </w:p>
    <w:p>
      <w:pPr>
        <w:pStyle w:val="BodyTextIndent2"/>
        <w:widowControl w:val="false"/>
        <w:spacing w:lineRule="auto" w:line="240"/>
        <w:ind w:firstLine="720"/>
        <w:rPr>
          <w:sz w:val="24"/>
        </w:rPr>
      </w:pPr>
      <w:r>
        <w:rPr>
          <w:sz w:val="24"/>
        </w:rPr>
        <w:t>проверка или экспертно-аналитическое мероприятие, проведенное в рамках непосредственного обеспечения предварительного, оперативного и последующего контроля формирования и исполнения районного бюджета и бюджетов поселений или иное тематическое контрольное и экспертно-аналитическое мероприятие.</w:t>
      </w:r>
    </w:p>
    <w:p>
      <w:pPr>
        <w:pStyle w:val="BodyTextIndent2"/>
        <w:widowControl w:val="false"/>
        <w:tabs>
          <w:tab w:val="clear" w:pos="708"/>
          <w:tab w:val="left" w:pos="1620" w:leader="none"/>
        </w:tabs>
        <w:spacing w:lineRule="auto" w:line="240"/>
        <w:ind w:right="-2" w:firstLine="720"/>
        <w:rPr>
          <w:sz w:val="24"/>
        </w:rPr>
      </w:pPr>
      <w:r>
        <w:rPr>
          <w:sz w:val="24"/>
        </w:rPr>
        <w:t>2. По отношению к выполнению поручений и обращений к Контрольно-счетной палате – как контрольное или экспертно-аналитическое мероприятие, выполненное:</w:t>
      </w:r>
    </w:p>
    <w:p>
      <w:pPr>
        <w:pStyle w:val="BodyTextIndent2"/>
        <w:widowControl w:val="false"/>
        <w:tabs>
          <w:tab w:val="clear" w:pos="708"/>
          <w:tab w:val="left" w:pos="162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 xml:space="preserve">по поручению, предложению, запросу, подлежащему обязательному включению в план работы Контрольно-счетной палаты, </w:t>
      </w:r>
    </w:p>
    <w:p>
      <w:pPr>
        <w:pStyle w:val="BodyTextIndent2"/>
        <w:widowControl w:val="false"/>
        <w:tabs>
          <w:tab w:val="clear" w:pos="708"/>
          <w:tab w:val="left" w:pos="162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по запросу, подлежащему обязательному рассмотрению при формировании плана работы Контрольно-счетной палаты;</w:t>
      </w:r>
    </w:p>
    <w:p>
      <w:pPr>
        <w:pStyle w:val="BodyTextIndent2"/>
        <w:widowControl w:val="false"/>
        <w:tabs>
          <w:tab w:val="clear" w:pos="708"/>
          <w:tab w:val="left" w:pos="162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по инициативе Контрольно-счетной палаты (без поручения или обращения).</w:t>
      </w:r>
    </w:p>
    <w:p>
      <w:pPr>
        <w:pStyle w:val="BodyTextIndent2"/>
        <w:widowControl w:val="false"/>
        <w:tabs>
          <w:tab w:val="clear" w:pos="708"/>
          <w:tab w:val="left" w:pos="162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3. По отношению к составу участников – как мероприятие, проведенное:</w:t>
      </w:r>
    </w:p>
    <w:p>
      <w:pPr>
        <w:pStyle w:val="BodyTextIndent2"/>
        <w:widowControl w:val="false"/>
        <w:spacing w:lineRule="auto" w:line="240"/>
        <w:ind w:firstLine="720"/>
        <w:rPr>
          <w:sz w:val="24"/>
        </w:rPr>
      </w:pPr>
      <w:r>
        <w:rPr>
          <w:sz w:val="24"/>
        </w:rPr>
        <w:t>одним направлением деятельности Контрольно-счетной палаты;</w:t>
      </w:r>
    </w:p>
    <w:p>
      <w:pPr>
        <w:pStyle w:val="BodyTextIndent2"/>
        <w:widowControl w:val="false"/>
        <w:tabs>
          <w:tab w:val="clear" w:pos="708"/>
          <w:tab w:val="left" w:pos="162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совместно двумя или более направлениями деятельности Контрольно-счетной палаты;</w:t>
      </w:r>
    </w:p>
    <w:p>
      <w:pPr>
        <w:pStyle w:val="BodyTextIndent2"/>
        <w:widowControl w:val="false"/>
        <w:tabs>
          <w:tab w:val="clear" w:pos="708"/>
          <w:tab w:val="left" w:pos="162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с Контрольно-счётной палатой Брянской области, правоохранительными органами и т.д.</w:t>
      </w:r>
    </w:p>
    <w:p>
      <w:pPr>
        <w:pStyle w:val="BodyTextIndent2"/>
        <w:widowControl w:val="false"/>
        <w:tabs>
          <w:tab w:val="clear" w:pos="708"/>
          <w:tab w:val="left" w:pos="1276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При определении количества проверенных объектов в качестве объекта проверки учитывается организация (юридическое лицо), в которой в отчетном периоде были проведены контрольные мероприятия и по их результатам составлен акт. При проведении нескольких контрольных мероприятий на одном объекте в течение отчетного периода объект учитывается один раз.</w:t>
      </w:r>
    </w:p>
    <w:p>
      <w:pPr>
        <w:pStyle w:val="BodyTextIndent2"/>
        <w:widowControl w:val="false"/>
        <w:tabs>
          <w:tab w:val="clear" w:pos="708"/>
          <w:tab w:val="left" w:pos="0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Все данные приводятся строго за отчетный период (за период с 1 января по 31 декабря отчетного года). Информация по выявленным финансовым нарушениям включается в отчет о работе направления деятельности Контрольно-счетной палаты только на основании соответствующих решений Коллегии Контрольно-счетной палаты об утверждении отчетов о результатах контрольных мероприятий.</w:t>
      </w:r>
    </w:p>
    <w:p>
      <w:pPr>
        <w:pStyle w:val="BodyTextIndent2"/>
        <w:widowControl w:val="false"/>
        <w:tabs>
          <w:tab w:val="clear" w:pos="708"/>
          <w:tab w:val="left" w:pos="1276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Суммы выявленных и возмещенных финансовых нарушений указываются в тысячах рублей с точностью до первого десятичного знака.</w:t>
      </w:r>
    </w:p>
    <w:p>
      <w:pPr>
        <w:pStyle w:val="BodyTextIndent2"/>
        <w:widowControl w:val="false"/>
        <w:tabs>
          <w:tab w:val="clear" w:pos="708"/>
          <w:tab w:val="left" w:pos="1276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Текстовые документы и материалы к формированию отчетов о работе Контрольно-счетной палаты оформляются в соответствии со следующими требованиями:</w:t>
      </w:r>
    </w:p>
    <w:p>
      <w:pPr>
        <w:pStyle w:val="BodyTextIndent2"/>
        <w:widowControl w:val="false"/>
        <w:spacing w:lineRule="auto" w:line="240"/>
        <w:ind w:firstLine="720"/>
        <w:rPr>
          <w:sz w:val="24"/>
          <w:lang w:val="en-US"/>
        </w:rPr>
      </w:pPr>
      <w:r>
        <w:rPr>
          <w:sz w:val="24"/>
        </w:rPr>
        <w:t>шрифт</w:t>
      </w:r>
      <w:r>
        <w:rPr>
          <w:sz w:val="24"/>
          <w:lang w:val="en-US"/>
        </w:rPr>
        <w:t xml:space="preserve"> – Times New Roman;</w:t>
      </w:r>
    </w:p>
    <w:p>
      <w:pPr>
        <w:pStyle w:val="BodyTextIndent2"/>
        <w:widowControl w:val="false"/>
        <w:spacing w:lineRule="auto" w:line="240"/>
        <w:ind w:firstLine="720"/>
        <w:rPr>
          <w:sz w:val="24"/>
          <w:lang w:val="en-US"/>
        </w:rPr>
      </w:pPr>
      <w:r>
        <w:rPr>
          <w:sz w:val="24"/>
        </w:rPr>
        <w:t>размер</w:t>
      </w:r>
      <w:r>
        <w:rPr>
          <w:sz w:val="24"/>
          <w:lang w:val="en-US"/>
        </w:rPr>
        <w:t xml:space="preserve"> </w:t>
      </w:r>
      <w:r>
        <w:rPr>
          <w:sz w:val="24"/>
        </w:rPr>
        <w:t>шрифта</w:t>
      </w:r>
      <w:r>
        <w:rPr>
          <w:sz w:val="24"/>
          <w:lang w:val="en-US"/>
        </w:rPr>
        <w:t xml:space="preserve"> –  12,14;</w:t>
      </w:r>
    </w:p>
    <w:p>
      <w:pPr>
        <w:pStyle w:val="BodyTextIndent2"/>
        <w:widowControl w:val="false"/>
        <w:spacing w:lineRule="auto" w:line="240"/>
        <w:ind w:firstLine="720"/>
        <w:rPr>
          <w:sz w:val="24"/>
        </w:rPr>
      </w:pPr>
      <w:r>
        <w:rPr>
          <w:sz w:val="24"/>
        </w:rPr>
        <w:t>поля страницы: левое, верхнее и нижнее – по 2,5 см., правое – 1,5 см.;</w:t>
      </w:r>
    </w:p>
    <w:p>
      <w:pPr>
        <w:pStyle w:val="BodyTextIndent2"/>
        <w:widowControl w:val="false"/>
        <w:spacing w:lineRule="auto" w:line="240"/>
        <w:ind w:firstLine="720"/>
        <w:rPr>
          <w:sz w:val="24"/>
        </w:rPr>
      </w:pPr>
      <w:r>
        <w:rPr>
          <w:sz w:val="24"/>
        </w:rPr>
        <w:t>абзацный отступ – 1,5 см.;</w:t>
      </w:r>
    </w:p>
    <w:p>
      <w:pPr>
        <w:pStyle w:val="BodyTextIndent2"/>
        <w:widowControl w:val="false"/>
        <w:spacing w:lineRule="auto" w:line="240"/>
        <w:ind w:firstLine="720"/>
        <w:rPr>
          <w:sz w:val="24"/>
        </w:rPr>
      </w:pPr>
      <w:r>
        <w:rPr>
          <w:sz w:val="24"/>
        </w:rPr>
        <w:t>без переносов слов;</w:t>
      </w:r>
    </w:p>
    <w:p>
      <w:pPr>
        <w:pStyle w:val="BodyTextIndent2"/>
        <w:widowControl w:val="false"/>
        <w:spacing w:lineRule="auto" w:line="240"/>
        <w:ind w:firstLine="720"/>
        <w:rPr>
          <w:sz w:val="24"/>
        </w:rPr>
      </w:pPr>
      <w:r>
        <w:rPr>
          <w:sz w:val="24"/>
        </w:rPr>
        <w:t>нумерация страниц – по центру сверху, на первой странице номер не указывается.</w:t>
      </w:r>
    </w:p>
    <w:p>
      <w:pPr>
        <w:pStyle w:val="BodyTextIndent2"/>
        <w:widowControl w:val="false"/>
        <w:tabs>
          <w:tab w:val="clear" w:pos="708"/>
          <w:tab w:val="left" w:pos="1276" w:leader="none"/>
        </w:tabs>
        <w:spacing w:lineRule="auto" w:line="240"/>
        <w:ind w:firstLine="720"/>
        <w:rPr>
          <w:sz w:val="24"/>
        </w:rPr>
      </w:pPr>
      <w:r>
        <w:rPr>
          <w:sz w:val="24"/>
        </w:rPr>
        <w:t>Документы и материалы к формированию отчетов о работе Контрольно-счетной палаты представляются на бумажном носителе и в электронном виде.</w:t>
      </w:r>
    </w:p>
    <w:sectPr>
      <w:footnotePr>
        <w:numFmt w:val="decimal"/>
      </w:footnote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jc w:val="both"/>
        <w:rPr/>
      </w:pPr>
      <w:r>
        <w:rPr>
          <w:rStyle w:val="Style17"/>
        </w:rPr>
        <w:footnoteRef/>
      </w:r>
      <w:r>
        <w:rPr/>
        <w:t xml:space="preserve"> </w:t>
      </w:r>
      <w:r>
        <w:rPr/>
        <w:t>При необходимости в структуру Годового отчета решением Коллегии Контрольно-счетной палаты Погарского района (далее - Коллегия) могут быть внесены непринципиальные изменения. Принципиальное изменение структуры Годового отчета возможно только в случае внесения соответствующих изменений в настоящий Стандарт.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273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1"/>
    <w:qFormat/>
    <w:rsid w:val="00df2736"/>
    <w:pPr>
      <w:keepNext w:val="true"/>
      <w:spacing w:lineRule="auto" w:line="360"/>
      <w:ind w:firstLine="1134"/>
      <w:jc w:val="both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f273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 w:customStyle="1">
    <w:name w:val="Текст сноски Знак"/>
    <w:basedOn w:val="DefaultParagraphFont"/>
    <w:semiHidden/>
    <w:qFormat/>
    <w:rsid w:val="00df273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semiHidden/>
    <w:qFormat/>
    <w:rsid w:val="00df27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Знак"/>
    <w:basedOn w:val="DefaultParagraphFont"/>
    <w:semiHidden/>
    <w:qFormat/>
    <w:rsid w:val="00df273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semiHidden/>
    <w:qFormat/>
    <w:rsid w:val="00df273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df2736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Символ сноски"/>
    <w:basedOn w:val="DefaultParagraphFont"/>
    <w:semiHidden/>
    <w:unhideWhenUsed/>
    <w:qFormat/>
    <w:rsid w:val="00df2736"/>
    <w:rPr>
      <w:vertAlign w:val="superscript"/>
    </w:rPr>
  </w:style>
  <w:style w:type="character" w:styleId="Style18">
    <w:name w:val="Footnote Reference"/>
    <w:rPr>
      <w:vertAlign w:val="superscript"/>
    </w:rPr>
  </w:style>
  <w:style w:type="character" w:styleId="Style19" w:customStyle="1">
    <w:name w:val="Текст выноски Знак"/>
    <w:basedOn w:val="DefaultParagraphFont"/>
    <w:link w:val="BalloonText"/>
    <w:uiPriority w:val="99"/>
    <w:semiHidden/>
    <w:qFormat/>
    <w:rsid w:val="00277724"/>
    <w:rPr>
      <w:rFonts w:ascii="Segoe UI" w:hAnsi="Segoe UI" w:eastAsia="Times New Roman" w:cs="Segoe UI"/>
      <w:sz w:val="18"/>
      <w:szCs w:val="18"/>
      <w:lang w:eastAsia="ru-RU"/>
    </w:rPr>
  </w:style>
  <w:style w:type="character" w:styleId="Style20">
    <w:name w:val="Endnote Reference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3">
    <w:name w:val="Body Text"/>
    <w:basedOn w:val="Normal"/>
    <w:link w:val="Style15"/>
    <w:semiHidden/>
    <w:unhideWhenUsed/>
    <w:rsid w:val="00df2736"/>
    <w:pPr>
      <w:spacing w:before="0" w:after="120"/>
    </w:pPr>
    <w:rPr/>
  </w:style>
  <w:style w:type="paragraph" w:styleId="Style24">
    <w:name w:val="List"/>
    <w:basedOn w:val="Style23"/>
    <w:pPr/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Style27">
    <w:name w:val="Footnote Text"/>
    <w:basedOn w:val="Normal"/>
    <w:link w:val="Style13"/>
    <w:semiHidden/>
    <w:unhideWhenUsed/>
    <w:rsid w:val="00df2736"/>
    <w:pPr/>
    <w:rPr>
      <w:sz w:val="20"/>
      <w:szCs w:val="20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Style14"/>
    <w:semiHidden/>
    <w:unhideWhenUsed/>
    <w:rsid w:val="00df273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Body Text Indent"/>
    <w:basedOn w:val="Normal"/>
    <w:link w:val="Style16"/>
    <w:semiHidden/>
    <w:unhideWhenUsed/>
    <w:rsid w:val="00df2736"/>
    <w:pPr>
      <w:spacing w:lineRule="auto" w:line="360"/>
      <w:ind w:firstLine="1134"/>
      <w:jc w:val="both"/>
    </w:pPr>
    <w:rPr>
      <w:sz w:val="28"/>
    </w:rPr>
  </w:style>
  <w:style w:type="paragraph" w:styleId="BodyTextIndent2">
    <w:name w:val="Body Text Indent 2"/>
    <w:basedOn w:val="Normal"/>
    <w:link w:val="2"/>
    <w:unhideWhenUsed/>
    <w:qFormat/>
    <w:rsid w:val="00df2736"/>
    <w:pPr>
      <w:spacing w:lineRule="auto" w:line="360"/>
      <w:ind w:firstLine="709"/>
      <w:jc w:val="both"/>
    </w:pPr>
    <w:rPr>
      <w:sz w:val="28"/>
    </w:rPr>
  </w:style>
  <w:style w:type="paragraph" w:styleId="BalloonText">
    <w:name w:val="Balloon Text"/>
    <w:basedOn w:val="Normal"/>
    <w:link w:val="Style19"/>
    <w:uiPriority w:val="99"/>
    <w:semiHidden/>
    <w:unhideWhenUsed/>
    <w:qFormat/>
    <w:rsid w:val="0027772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LibreOffice/7.4.6.2$Windows_X86_64 LibreOffice_project/5b1f5509c2decdade7fda905e3e1429a67acd63d</Application>
  <AppVersion>15.0000</AppVersion>
  <Pages>5</Pages>
  <Words>1003</Words>
  <Characters>7822</Characters>
  <CharactersWithSpaces>8877</CharactersWithSpaces>
  <Paragraphs>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2023-05-11T13:28:00Z</dcterms:created>
  <dc:creator>Admin</dc:creator>
  <dc:description/>
  <dc:language>ru-RU</dc:language>
  <cp:lastModifiedBy/>
  <cp:lastPrinted>2023-05-11T13:26:00Z</cp:lastPrinted>
  <dcterms:modified xsi:type="dcterms:W3CDTF">2023-05-12T11:06:16Z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