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ED5758" w:rsidRPr="00ED5758" w:rsidRDefault="00ED5758" w:rsidP="00ED575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</w:t>
      </w:r>
      <w:proofErr w:type="spellStart"/>
      <w:r w:rsidRPr="00ED57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по результатам внешней проверки годового отчёта об исполнении бюджета </w:t>
      </w:r>
      <w:proofErr w:type="spellStart"/>
      <w:r w:rsidRPr="00ED57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за 2015 год.</w:t>
      </w:r>
    </w:p>
    <w:p w:rsidR="00C913EC" w:rsidRPr="00B20BF0" w:rsidRDefault="00ED5758" w:rsidP="00B20BF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B20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913EC" w:rsidRPr="003E2FCE" w:rsidRDefault="00C913EC" w:rsidP="003E2FCE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E2F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3EC" w:rsidRPr="00C913EC" w:rsidRDefault="00C913EC" w:rsidP="00C913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Заключение Контрольно-счётной палаты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Контрольно-счётная палата) на отчёт администрации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испо</w:t>
      </w:r>
      <w:r w:rsidR="00B20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районного бюджета за 2015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 ,  пунктом 1.5 плана  работы Контрольно-счетной палаты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утвержденным   решением  Коллегии  Контрольно- счет</w:t>
      </w:r>
      <w:r w:rsidR="001F1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палаты </w:t>
      </w:r>
      <w:proofErr w:type="spellStart"/>
      <w:r w:rsidR="001F1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1F1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№11  от  28.12.2015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103 «Последующий контроль исполнения бюджета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решением  Коллегии Контрольно-счетной палаты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№13  от 26.04.2012 года.</w:t>
      </w:r>
    </w:p>
    <w:p w:rsidR="00C913EC" w:rsidRPr="00C913EC" w:rsidRDefault="00C913EC" w:rsidP="00C913EC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Перечень документов, представленных для заключения администрацией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,с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оответствует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ч.1 ст. 264 Бюджетного кодекса Российской Федерации.</w:t>
      </w:r>
    </w:p>
    <w:p w:rsidR="00C913EC" w:rsidRPr="00C913EC" w:rsidRDefault="00C913EC" w:rsidP="00C913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Годовая бюджетная отчётность сформирована в соответствии с приказом Минфина России от 28 декабря 2010 года №191-н «Об утверждении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Федерации».</w:t>
      </w:r>
    </w:p>
    <w:p w:rsidR="00C913EC" w:rsidRPr="00C913EC" w:rsidRDefault="00C913EC" w:rsidP="00C913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наделён статусом муниципального района в соответствии с законом Брянской области от 09.03.2005 года №3-3                   «О наделении муниципальных образований городского округа, 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:rsidR="00C913EC" w:rsidRPr="00C913EC" w:rsidRDefault="00C913EC" w:rsidP="00C913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Итогами проведения бюджетной политики на территории района, стали: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реструктуризация бюджетной сети при сохранении объёмов предоставляемых услуг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режима экономии бюджетных средств, оптимизация расходов районного бюджета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исполнение  Майских Указов  Президента РФ.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Анализ макроэкономических условий исполнения районного</w:t>
      </w:r>
      <w:r w:rsidR="00983E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бюджета в 2015</w:t>
      </w:r>
      <w:r w:rsidRPr="00C913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Основу социально- экономического развития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составляют предприятия промышленности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хозяйства и предприятия сферы обслуживания.</w:t>
      </w:r>
    </w:p>
    <w:p w:rsidR="00C913EC" w:rsidRPr="00C913EC" w:rsidRDefault="00C913EC" w:rsidP="00C913E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3EC" w:rsidRPr="00C913EC" w:rsidRDefault="00C913EC" w:rsidP="00C913EC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Производство товаров, работ и услуг</w:t>
      </w:r>
    </w:p>
    <w:p w:rsidR="00C913EC" w:rsidRPr="00AA4C1B" w:rsidRDefault="00411DAD" w:rsidP="00AA4C1B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январь - декабрь 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объем оборота предприятий всех видов экономической деятельности по крупным и средн</w:t>
      </w:r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предприятиям составил  3378,3  </w:t>
      </w:r>
      <w:proofErr w:type="spellStart"/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или  </w:t>
      </w:r>
      <w:r w:rsidR="008F158C">
        <w:rPr>
          <w:rFonts w:ascii="Times New Roman" w:eastAsiaTheme="minorEastAsia" w:hAnsi="Times New Roman" w:cs="Times New Roman"/>
          <w:sz w:val="28"/>
          <w:szCs w:val="28"/>
          <w:lang w:eastAsia="ru-RU"/>
        </w:rPr>
        <w:t>88,9</w:t>
      </w:r>
      <w:r w:rsidR="00671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процента  к соответствующему  периоду прошлого года. Оборот организаций отражает их коммерческую деятельность. В оборот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НДС, акцизов). </w:t>
      </w:r>
    </w:p>
    <w:p w:rsidR="00BC039A" w:rsidRPr="00BD482A" w:rsidRDefault="00BC039A" w:rsidP="00BD482A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D482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Промышленность</w:t>
      </w:r>
    </w:p>
    <w:p w:rsidR="00215518" w:rsidRDefault="00215518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Обрабатывающие производства</w:t>
      </w:r>
      <w:r w:rsidR="00653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долю которых приходится 86,0% отгруженной продукции, определяют специфику и значимость</w:t>
      </w:r>
      <w:r w:rsidR="00CF04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промышленности для экономики района. Общее количество малых и средних</w:t>
      </w:r>
      <w:r w:rsidR="000A7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промышленных предприятий на территории района 26, из </w:t>
      </w:r>
      <w:proofErr w:type="spellStart"/>
      <w:r w:rsidR="000A7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 w:rsidR="00BE5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="00BE52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основном предприятия переработки.</w:t>
      </w:r>
    </w:p>
    <w:p w:rsidR="00BE52B5" w:rsidRPr="00C913EC" w:rsidRDefault="00BE52B5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</w:t>
      </w:r>
      <w:r w:rsidR="007D7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выполненных работ и услуг собственными силами по крупным и средним предприятиям обрабатывающих производств</w:t>
      </w:r>
      <w:r w:rsidR="00F028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действующих ценах уменьшился </w:t>
      </w:r>
      <w:r w:rsidR="00115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115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анологичному</w:t>
      </w:r>
      <w:proofErr w:type="spellEnd"/>
      <w:r w:rsidR="00115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периоду 2014 года на 30,8% и за 2015 год составил 1160,4</w:t>
      </w:r>
      <w:r w:rsidR="00AA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AA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AA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AA4C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C913EC" w:rsidRPr="00C913EC" w:rsidRDefault="00977F87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сельскохозяйственными предприятиями всех категорий хозяйств произведено в натуральном вы</w:t>
      </w:r>
      <w:r w:rsidR="00EF6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ражении: мясо – 2800 тонн (</w:t>
      </w:r>
      <w:r w:rsidR="00E936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106,0%</w:t>
      </w:r>
      <w:r w:rsidR="00EF6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уровню 2014</w:t>
      </w:r>
      <w:r w:rsidR="00E93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года), молока – 14272 тонны </w:t>
      </w:r>
      <w:proofErr w:type="gramStart"/>
      <w:r w:rsidR="00E93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93618">
        <w:rPr>
          <w:rFonts w:ascii="Times New Roman" w:eastAsiaTheme="minorEastAsia" w:hAnsi="Times New Roman" w:cs="Times New Roman"/>
          <w:sz w:val="28"/>
          <w:szCs w:val="28"/>
          <w:lang w:eastAsia="ru-RU"/>
        </w:rPr>
        <w:t>92 % к уровню 2014</w:t>
      </w:r>
      <w:r w:rsidR="00612E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года), яйца – 7687 тыс. штук ( 98,0 % к уровню 2014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года).</w:t>
      </w:r>
    </w:p>
    <w:p w:rsidR="00C913EC" w:rsidRPr="00C913EC" w:rsidRDefault="00612ECE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имелось в наличии крупного рогатого скота в хозяйствах всех </w:t>
      </w:r>
      <w:r w:rsidR="00F96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категорий – 22988 голов (рост 115,0% к 2014 году), в том числе коров – 11310 голов (140,0% к уровню 2014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</w:t>
      </w:r>
    </w:p>
    <w:p w:rsidR="00C913EC" w:rsidRPr="00C913EC" w:rsidRDefault="00C913EC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Валовой сбор  продукции растениеводства  предприятиями всех категорий хозяйств в натуральном выражении составил: зер</w:t>
      </w:r>
      <w:r w:rsidR="00A65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(в весе после доработки) – 45252 тонны (85 % к уровню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</w:t>
      </w:r>
      <w:r w:rsidR="00A65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да) при средней урожайности 31,2ц/га (99,0% к уровню 2014</w:t>
      </w:r>
      <w:r w:rsidR="0064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года), картофеля –  135907 тонн </w:t>
      </w:r>
      <w:proofErr w:type="gramStart"/>
      <w:r w:rsidR="0064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4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122%  к уровню 2014 года) при урожайности 268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ц/</w:t>
      </w:r>
      <w:r w:rsidR="0064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га, овощей открытого грунта </w:t>
      </w:r>
      <w:r w:rsidR="00747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655</w:t>
      </w:r>
      <w:r w:rsidR="0064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47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тонны (114,0 % к уровню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года).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Строительство и транспорт</w:t>
      </w:r>
    </w:p>
    <w:p w:rsidR="00C913EC" w:rsidRPr="00C913EC" w:rsidRDefault="003B085B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 январь – декабрь 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за счет всех источников финан</w:t>
      </w:r>
      <w:r w:rsidR="00650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сирования введено в действие  23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индивид</w:t>
      </w:r>
      <w:r w:rsidR="00650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уальных дома общей площадью 2670</w:t>
      </w:r>
      <w:r w:rsidR="00562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</w:t>
      </w:r>
      <w:proofErr w:type="gramStart"/>
      <w:r w:rsidR="00562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="00562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в 2,3 раза выше  к уровню 2014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Индекс физического объема работ по виду деятельности «строительство» по крупным и средним с</w:t>
      </w:r>
      <w:r w:rsidR="000B3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троительным организациям за 2015 год составил -88,9% к аналогичному периоду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C913EC" w:rsidRPr="00C913EC" w:rsidRDefault="00C54094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За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перевезено 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8,7 тыс. пассажиров, что на 38,2% меньше уровня 2014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Пассажироо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борот составил 9106,0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пассажиро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/км, что на 13,6% ниже уровня 2014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На снижение показателей влияет динамично развивающаяся сеть коммерческих такси, увеличение количества личных автомобилей.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Инвестиции в основной капитал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 январь - декабрь 2014 года крупными и средними предприятиями вложено инвес</w:t>
      </w:r>
      <w:r w:rsidR="007211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тиций в основной капитал – 252,9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увеличени</w:t>
      </w:r>
      <w:r w:rsidR="007211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составило 140,0% к уровню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Видовая структура  инвестиций в </w:t>
      </w:r>
      <w:r w:rsidR="0082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капитал сложилась: 172,9 </w:t>
      </w:r>
      <w:proofErr w:type="spellStart"/>
      <w:r w:rsidR="0082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82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82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821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(68,4</w:t>
      </w:r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%) –здания и сооружения, 78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,6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</w:t>
      </w:r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spellEnd"/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(31,1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%)- машины и оборуд</w:t>
      </w:r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ование, инвентарь и прочее – 1,4 </w:t>
      </w:r>
      <w:proofErr w:type="spellStart"/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="0047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0,5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FC79AF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Потребительский рынок</w:t>
      </w:r>
      <w:r w:rsidR="00FC79A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C913EC" w:rsidRDefault="00FC79AF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орот розничной торговли за 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по крупным и средним орга</w:t>
      </w:r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низациям торговли составил 447,3 </w:t>
      </w:r>
      <w:proofErr w:type="spellStart"/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6E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20,8 процента меньше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соответствующему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ериоду прошлого года.</w:t>
      </w:r>
    </w:p>
    <w:p w:rsidR="00FC79AF" w:rsidRPr="00FC79AF" w:rsidRDefault="00FC79AF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592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01.01.2016 года  торговое обслуживание населения в районе осуществляет 272 предприятия розничной торговли разных форм собственности</w:t>
      </w:r>
      <w:r w:rsidR="00316A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33,9 %  от общего количества или 107 магазинов принадлежат системе потребкооперации</w:t>
      </w:r>
      <w:r w:rsidR="00B0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164 магазина – частной формы собственности и 1 </w:t>
      </w:r>
      <w:proofErr w:type="gramStart"/>
      <w:r w:rsidR="00B00D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2B3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Обеспеченность торговыми площадями на </w:t>
      </w:r>
      <w:r w:rsidR="00132B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тысячу жителей достигла939 </w:t>
      </w:r>
      <w:proofErr w:type="spellStart"/>
      <w:r w:rsidR="00132B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="00132B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(при нормативе 343 </w:t>
      </w:r>
      <w:proofErr w:type="spellStart"/>
      <w:r w:rsidR="00132B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="00132B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.).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Платные услуги населению</w:t>
      </w:r>
    </w:p>
    <w:p w:rsidR="00C913EC" w:rsidRPr="00C913EC" w:rsidRDefault="00C913EC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янва</w:t>
      </w:r>
      <w:r w:rsidR="00486B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рь – декабрь  2015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населению района оказано платных услуг крупными и ср</w:t>
      </w:r>
      <w:r w:rsidR="00101F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едними предприятиями на сумму 77,0,0 </w:t>
      </w:r>
      <w:proofErr w:type="spellStart"/>
      <w:r w:rsidR="00101F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101F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101F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ублей</w:t>
      </w:r>
      <w:proofErr w:type="spellEnd"/>
      <w:r w:rsidR="00101F5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т.е. на 19,8% меньше уровня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 </w:t>
      </w:r>
    </w:p>
    <w:p w:rsidR="00C913EC" w:rsidRPr="00C913EC" w:rsidRDefault="00FB29F3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объеме платных услуг 35,9  процента или 27,7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приходилось на 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жилищно-коммунальные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Бытовые услуги составили  14,5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ублей</w:t>
      </w:r>
      <w:proofErr w:type="spell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18,8 процента.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Финансовые результаты деятельности предприятий</w:t>
      </w:r>
    </w:p>
    <w:p w:rsidR="00C913EC" w:rsidRPr="00C913EC" w:rsidRDefault="007212FA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За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год  сальдированный финансовый результат (прибыль минус убыток) предприят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и организаций составил  112,9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убытка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Кредиторская задолженность</w:t>
      </w:r>
      <w:r w:rsidR="00721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конец декабря 201</w:t>
      </w:r>
      <w:r w:rsidR="0053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года составила 2024</w:t>
      </w:r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</w:t>
      </w:r>
      <w:r w:rsidR="0053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Start"/>
      <w:r w:rsidR="0053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53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="0053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из нее просроченная </w:t>
      </w:r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27,5 </w:t>
      </w:r>
      <w:proofErr w:type="spellStart"/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1,4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%к общей задолженности </w:t>
      </w:r>
    </w:p>
    <w:p w:rsidR="00C913EC" w:rsidRPr="00C913EC" w:rsidRDefault="00C913EC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Дебиторская задолженность</w:t>
      </w:r>
      <w:r w:rsidRPr="00C913E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редприятий на конец декабря 2015 года – 2218,7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 нее просроченн</w:t>
      </w:r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 –14,0 </w:t>
      </w:r>
      <w:proofErr w:type="spellStart"/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="00AF5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 0,6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 от общего объема дебиторской задолженности.</w:t>
      </w:r>
    </w:p>
    <w:p w:rsidR="00C913EC" w:rsidRPr="00C913EC" w:rsidRDefault="00C913EC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часть дебиторской задолженности приходится на задолженность покупателей и заказчиков за товары, работы и услуги.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Рынок труда и уровень жизни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Среднесписочная численность работников (без внешних совместителей) крупных и средних п</w:t>
      </w:r>
      <w:r w:rsidR="00670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редприятий и организаций за 2015</w:t>
      </w:r>
      <w:r w:rsidR="00B1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составила 3346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 </w:t>
      </w:r>
      <w:r w:rsidR="00B15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снизилась по сравнению с  2014 годом на  2,0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Фонд начисленной заработной платы по крупным и средним предприятиям по райо</w:t>
      </w:r>
      <w:r w:rsidR="00317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за январь - декабрь 2015 года составил  724,3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что боль</w:t>
      </w:r>
      <w:r w:rsidR="003173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 соответствующего периода 2014 года на 2,5 </w:t>
      </w:r>
      <w:proofErr w:type="spellStart"/>
      <w:r w:rsidR="00317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="003173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0,4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Средняя начисленная заработная плата по крупным</w:t>
      </w:r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средним предприятиям  за 2015 год составила 18117,6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рублей, что н</w:t>
      </w:r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,3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  боль</w:t>
      </w:r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 соответствующего периода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913E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Величина прожиточного минимума 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расчете на душу населения по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</w:t>
      </w:r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арскому</w:t>
      </w:r>
      <w:proofErr w:type="spellEnd"/>
      <w:r w:rsidR="00534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за 4 квартал 2015</w:t>
      </w:r>
      <w:r w:rsidR="002C7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сложилась в сумме 8268,2 рубля (130,8 % к </w:t>
      </w:r>
      <w:r w:rsidR="00C701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</w:t>
      </w:r>
      <w:r w:rsidR="002C7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логичному 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показателю</w:t>
      </w:r>
      <w:r w:rsidR="00C701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 года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 том числе: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трудоспосо</w:t>
      </w:r>
      <w:r w:rsidR="00C701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бное население – 9564,17 рублей (102,2</w:t>
      </w:r>
      <w:r w:rsidR="00CD4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913EC" w:rsidRPr="00C913EC" w:rsidRDefault="00CD48F6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пенсионеры – 7401,08 рублей (101,9 %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C913EC" w:rsidRPr="00C913EC" w:rsidRDefault="00CD48F6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дети – 8644,06 рублей (101,4 %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913EC" w:rsidRPr="00C913EC" w:rsidRDefault="00C913EC" w:rsidP="00C913EC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потребительской корзины на душу населения в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211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гарском</w:t>
      </w:r>
      <w:proofErr w:type="spellEnd"/>
      <w:r w:rsidR="00211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за 4 квартал 2015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</w:t>
      </w:r>
      <w:r w:rsidR="00211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тавила  8268,2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C913EC" w:rsidRPr="00C913EC" w:rsidRDefault="00211E79" w:rsidP="00C913E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Всего за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центр занятост</w:t>
      </w:r>
      <w:r w:rsidR="00D80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поиске работы обратилось 768 (в 2014году -779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человека). Трудоустрое</w:t>
      </w:r>
      <w:r w:rsidR="00D80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– 562 человек</w:t>
      </w:r>
      <w:r w:rsidR="00ED52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80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(2014 год – 640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человека).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безработицы составил 1,2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Демографическая ситуация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январь – д</w:t>
      </w:r>
      <w:r w:rsidR="007B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екабрь 2015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7B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сравнению с 2014 годом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</w:t>
      </w:r>
      <w:r w:rsidR="007B0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рождаемость снизилась на  </w:t>
      </w:r>
      <w:r w:rsidR="00BD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D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BD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19,7</w:t>
      </w:r>
      <w:r w:rsidR="00181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350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смертность уменьшилась  на 1,7% </w:t>
      </w:r>
      <w:r w:rsidR="00C845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13EC" w:rsidRPr="00C913EC" w:rsidRDefault="00BD44A0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За январь-декабрь 2015 года  родилось 338 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малыш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181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умерло 565 человек. </w:t>
      </w:r>
      <w:proofErr w:type="gramStart"/>
      <w:r w:rsidR="00181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конец</w:t>
      </w:r>
      <w:proofErr w:type="gramEnd"/>
      <w:r w:rsidR="001812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естествен</w:t>
      </w:r>
      <w:r w:rsidR="001812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убыль населения составила 22</w:t>
      </w:r>
      <w:r w:rsidR="000756C0">
        <w:rPr>
          <w:rFonts w:ascii="Times New Roman" w:eastAsiaTheme="minorEastAsia" w:hAnsi="Times New Roman" w:cs="Times New Roman"/>
          <w:sz w:val="28"/>
          <w:szCs w:val="28"/>
          <w:lang w:eastAsia="ru-RU"/>
        </w:rPr>
        <w:t>7 человек.</w:t>
      </w:r>
    </w:p>
    <w:p w:rsidR="00C913EC" w:rsidRPr="00C913EC" w:rsidRDefault="00C913EC" w:rsidP="00C913E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Миграционная убыль </w:t>
      </w:r>
      <w:r w:rsidR="000756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 за январь-декабрь 2015 года  составила -353</w:t>
      </w:r>
      <w:r w:rsidR="006F0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(прибыло -858 человек, убыло – 1211 человек), что на 13,1</w:t>
      </w:r>
      <w:r w:rsidR="00EC7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больше, чем в 2014</w:t>
      </w:r>
      <w:r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году.</w:t>
      </w:r>
    </w:p>
    <w:p w:rsidR="00ED5758" w:rsidRPr="003E2FCE" w:rsidRDefault="00EC74F1" w:rsidP="003E2FC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 январь-декабрь   2015</w:t>
      </w:r>
      <w:r w:rsidR="00C45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зарегистрировано  210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брако</w:t>
      </w:r>
      <w:r w:rsidR="00C45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973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на 14,3% меньше 2014 года</w:t>
      </w:r>
      <w:r w:rsidR="00C45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Разводов зарегистрировано 119 пар, что на 18,5</w:t>
      </w:r>
      <w:r w:rsidR="00C913EC" w:rsidRPr="00C91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больше аналогичного периода прошлого года.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AF796E" w:rsidRDefault="00AF796E" w:rsidP="00AF796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5758" w:rsidRPr="00AF796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бюджета </w:t>
      </w:r>
      <w:proofErr w:type="spellStart"/>
      <w:r w:rsidR="00ED5758" w:rsidRPr="00AF796E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="00ED5758" w:rsidRPr="00AF796E">
        <w:rPr>
          <w:rFonts w:ascii="Times New Roman" w:hAnsi="Times New Roman" w:cs="Times New Roman"/>
          <w:b/>
          <w:sz w:val="28"/>
          <w:szCs w:val="28"/>
        </w:rPr>
        <w:t xml:space="preserve"> района по доходам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2015 год и на плановый период 2016 и 2017 годов первоначально был утвержден решением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№5-35 от 26.12.2014. года по доходам в сумме 411020,3 млн. рублей, в течение 2015 года в бюджет района вносились изменения и дополнения в порядке, установленном муниципальными правовыми актами.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учётом внесенных изменений и дополнений в бюджет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уточнённый план по доходам составил 464854,9 тыс. руб., что утверждено решением районного Совета народных депутатов  № 5-111 от 28. 12. 2015 года.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2015 году с территории района в бюджеты всех уровней поступило    2295,9 млн. руб. налогов и других платежей, что на 200,7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9,6% больше, чем в 2014 году.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федеральный бюджет поступило 2018,5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166,0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  на 9,0% больше, чем в 2014 году.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областной бюджет поступило  125,6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районный бюджет поступило 116,6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что на 16,4 млн. руб. или на 16,3% выше уровня 2014 года.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В бюджеты поселений поступило 35,2 млн. руб., что на 15,6 млн. руб. или на  30,7% меньше по сравнению с 2014 годом.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Анализ поступления доходов между бюджетами разных уровней с 2010 года по 2015 год приведены в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  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1848"/>
        <w:gridCol w:w="1090"/>
        <w:gridCol w:w="1238"/>
        <w:gridCol w:w="1153"/>
        <w:gridCol w:w="1183"/>
        <w:gridCol w:w="1054"/>
        <w:gridCol w:w="1054"/>
        <w:gridCol w:w="1054"/>
      </w:tblGrid>
      <w:tr w:rsidR="00ED5758" w:rsidRPr="00ED5758" w:rsidTr="00B20BF0">
        <w:tc>
          <w:tcPr>
            <w:tcW w:w="1848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2015г в % к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184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Поступило платежей во все уровни бюджета</w:t>
            </w: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1791,5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2095,2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2295,9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ED5758" w:rsidRPr="00ED5758" w:rsidTr="00B20BF0">
        <w:tc>
          <w:tcPr>
            <w:tcW w:w="184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566,0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604,4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1465,0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1852,5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2018,5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D5758" w:rsidRPr="00ED5758" w:rsidTr="00B20BF0">
        <w:tc>
          <w:tcPr>
            <w:tcW w:w="184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</w:tr>
      <w:tr w:rsidR="00ED5758" w:rsidRPr="00ED5758" w:rsidTr="00B20BF0">
        <w:trPr>
          <w:trHeight w:val="772"/>
        </w:trPr>
        <w:tc>
          <w:tcPr>
            <w:tcW w:w="184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ED5758" w:rsidRPr="00ED5758" w:rsidTr="00B20BF0">
        <w:tc>
          <w:tcPr>
            <w:tcW w:w="184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09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</w:tbl>
    <w:p w:rsidR="00ED5758" w:rsidRPr="00ED5758" w:rsidRDefault="00ED5758" w:rsidP="00ED57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причина снижения поступления доходов в 2010 и 2011 годах в федеральный бюджет, по сравнению с 2009  годом, связана с возвратом налогоплательщикам налога на добавленную стоимость.  Увеличение поступления налоговых  платежей  в  федеральный бюджет в 2012 году  по сравнению с 2011 годом в 2 раза  связано с увеличением стоимости акцизного сбора  с табачных изделий в 2012 году. Рост поступления налоговых платежей и сборов в 2015 году по сравнению с 2013 и 2014 годами связан с ростом налогооблагаемой базы.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распределения налогов по бюджетам разных уровней характеризуется следующей таблицей: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276"/>
        <w:gridCol w:w="1134"/>
        <w:gridCol w:w="1134"/>
      </w:tblGrid>
      <w:tr w:rsidR="00ED5758" w:rsidRPr="00ED5758" w:rsidTr="00B20BF0">
        <w:trPr>
          <w:trHeight w:val="322"/>
        </w:trPr>
        <w:tc>
          <w:tcPr>
            <w:tcW w:w="2660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8" w:rsidRPr="00ED5758" w:rsidRDefault="00ED5758" w:rsidP="00ED5758">
            <w:r w:rsidRPr="00ED5758">
              <w:t xml:space="preserve">                                                            структура</w:t>
            </w:r>
          </w:p>
        </w:tc>
      </w:tr>
      <w:tr w:rsidR="00ED5758" w:rsidRPr="00ED5758" w:rsidTr="00B20BF0">
        <w:trPr>
          <w:trHeight w:val="784"/>
        </w:trPr>
        <w:tc>
          <w:tcPr>
            <w:tcW w:w="2660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 год.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 год.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 платежей во все уровни бюджета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D5758" w:rsidRPr="00ED5758" w:rsidRDefault="00ED5758" w:rsidP="00ED57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Несмотря на то, что в структуре по распределению налогов удельный вес поступлений по годам по уровням бюджетной системы, имеет скачкообразный характер,  значительный удельный вес приходится на налоговые и неналоговые поступления в федеральный бюджет – 87,9%.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01.01.2016 года Совокупная задолженность по налогам и сборам составила 104178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по сравнению с началом отчетного года увеличилась на 8886,0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совокупной задолженности наибольший удельный вес приходится на задолженность по федеральным налогам – 85,5%.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задолженности по налогам и сборам наибольший удельный вес занимает недоимка, по состоянию на 01.01.2016 года ее объем составлял 75734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72,7%.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отчетный год недоимка во все уровни бюджетов увеличилась 5771,0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задолженности на 01.01.2016 года представлена в следующей таблице:                      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       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207"/>
        <w:gridCol w:w="1345"/>
        <w:gridCol w:w="1222"/>
        <w:gridCol w:w="1119"/>
        <w:gridCol w:w="919"/>
        <w:gridCol w:w="992"/>
        <w:gridCol w:w="1098"/>
      </w:tblGrid>
      <w:tr w:rsidR="00ED5758" w:rsidRPr="00ED5758" w:rsidTr="00B20BF0">
        <w:trPr>
          <w:trHeight w:val="434"/>
        </w:trPr>
        <w:tc>
          <w:tcPr>
            <w:tcW w:w="1951" w:type="dxa"/>
            <w:vMerge w:val="restart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Виды бюджетов</w:t>
            </w:r>
          </w:p>
        </w:tc>
        <w:tc>
          <w:tcPr>
            <w:tcW w:w="2552" w:type="dxa"/>
            <w:gridSpan w:val="2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41" w:type="dxa"/>
            <w:gridSpan w:val="2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имки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недоимки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2015  года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в  %       </w:t>
            </w:r>
          </w:p>
        </w:tc>
      </w:tr>
      <w:tr w:rsidR="00ED5758" w:rsidRPr="00ED5758" w:rsidTr="00B20BF0">
        <w:tc>
          <w:tcPr>
            <w:tcW w:w="1951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недоим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Задолженность всего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</w:p>
        </w:tc>
        <w:tc>
          <w:tcPr>
            <w:tcW w:w="919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195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95292</w:t>
            </w: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69963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104178    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75734</w:t>
            </w:r>
          </w:p>
        </w:tc>
        <w:tc>
          <w:tcPr>
            <w:tcW w:w="9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09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85,5</w:t>
            </w:r>
          </w:p>
        </w:tc>
      </w:tr>
      <w:tr w:rsidR="00ED5758" w:rsidRPr="00ED5758" w:rsidTr="00B20BF0">
        <w:tc>
          <w:tcPr>
            <w:tcW w:w="195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12285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5594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6797          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6369</w:t>
            </w:r>
          </w:p>
        </w:tc>
        <w:tc>
          <w:tcPr>
            <w:tcW w:w="9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55,3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09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7,2</w:t>
            </w:r>
          </w:p>
        </w:tc>
      </w:tr>
      <w:tr w:rsidR="00ED5758" w:rsidRPr="00ED5758" w:rsidTr="00B20BF0">
        <w:tc>
          <w:tcPr>
            <w:tcW w:w="195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3942</w:t>
            </w: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3753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3968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3408</w:t>
            </w:r>
          </w:p>
        </w:tc>
        <w:tc>
          <w:tcPr>
            <w:tcW w:w="9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09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3,8</w:t>
            </w:r>
          </w:p>
        </w:tc>
      </w:tr>
      <w:tr w:rsidR="00ED5758" w:rsidRPr="00ED5758" w:rsidTr="00B20BF0">
        <w:tc>
          <w:tcPr>
            <w:tcW w:w="195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4239</w:t>
            </w: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2781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4855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3127</w:t>
            </w:r>
          </w:p>
        </w:tc>
        <w:tc>
          <w:tcPr>
            <w:tcW w:w="9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09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3,5</w:t>
            </w:r>
          </w:p>
        </w:tc>
      </w:tr>
      <w:tr w:rsidR="00ED5758" w:rsidRPr="00ED5758" w:rsidTr="00B20BF0">
        <w:tc>
          <w:tcPr>
            <w:tcW w:w="195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115758</w:t>
            </w:r>
          </w:p>
        </w:tc>
        <w:tc>
          <w:tcPr>
            <w:tcW w:w="134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82091</w:t>
            </w:r>
          </w:p>
        </w:tc>
        <w:tc>
          <w:tcPr>
            <w:tcW w:w="122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119798</w:t>
            </w:r>
          </w:p>
        </w:tc>
        <w:tc>
          <w:tcPr>
            <w:tcW w:w="11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88638</w:t>
            </w:r>
          </w:p>
        </w:tc>
        <w:tc>
          <w:tcPr>
            <w:tcW w:w="91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09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</w:tc>
      </w:tr>
    </w:tbl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2015 год в консолидированный бюджет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планировалось поступление собственных доходов (по уточненному плану) в сумме 152533,0 тыс.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фактически поступило 151778,0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Выполнение плана составило 99,5% По сравнению с 2014 годом собственных доходов в консолидированный бюджет района поступило на 752,0тыс.руб. больше.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в бюджеты поселений планировалось поступление собственных доходов (уточненный план) в сумме 37440,0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фактически поступило 35224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Выполнение плана составило 94,1% .  По сравнению с 2014 годом собственных доходов поступило на 15555,0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меньше, что связано не только с зачислением в 2015 году платежей от акцизного сбора на ГСМ в районный бюджет, но и с снижением платежей по другим видам налогов.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Доходная часть районного бюджета в 2015 году исполнена в сумме 461579,2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43509,7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10,4 % больше по сравнению с 2014 годом. Это связано не только с увеличением поступления собственных доходов, но и с увеличением межбюджетных трансфертов. Удельный вес собственных доходов  в доходной части бюджета составляет 25,3%, безвозмездные поступления 74,7%., о чем свидетельствует следующая таблица:</w:t>
      </w:r>
    </w:p>
    <w:p w:rsidR="00ED5758" w:rsidRPr="00ED5758" w:rsidRDefault="00ED5758" w:rsidP="00ED575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418"/>
        <w:gridCol w:w="992"/>
        <w:gridCol w:w="1134"/>
        <w:gridCol w:w="851"/>
      </w:tblGrid>
      <w:tr w:rsidR="00ED5758" w:rsidRPr="00ED5758" w:rsidTr="00B20BF0">
        <w:trPr>
          <w:trHeight w:val="173"/>
        </w:trPr>
        <w:tc>
          <w:tcPr>
            <w:tcW w:w="3085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Исполнение плана %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Темп роста 2015 года к 2014 году</w:t>
            </w:r>
          </w:p>
        </w:tc>
        <w:tc>
          <w:tcPr>
            <w:tcW w:w="851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5758" w:rsidRPr="00ED5758" w:rsidTr="00B20BF0">
        <w:trPr>
          <w:trHeight w:val="139"/>
        </w:trPr>
        <w:tc>
          <w:tcPr>
            <w:tcW w:w="3085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Уточнённый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районного бюджета  в том числе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100247,7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115093,0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116554,4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82571,0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88850,0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89425,1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ГСМ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8877,6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10697,8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10945,0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10947,1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207,3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207,3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взымаемый в связи с патентной системой налогообложения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Государственная   пошлина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849,4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2179,5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2962,1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2964,6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муниципального имущества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695,3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702,4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Штрафы, санкции,        возмещение ущерба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1765,5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1336,5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317821,8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349761,9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345024,8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74890,2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64627,4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64627,4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10612,7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29503,0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27391,6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231489,0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232520,7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232122,6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иные межбюджетные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23110,8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возврат субсидий,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субвенций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-118,8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-1482,7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-0,3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418069,5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464854,9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461579,2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бюджет муниципального района собственных доходов при плане 115093,0 тыс. руб. фактически поступило 116554,4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Уточненный план выполнен на 101,3%. По сравнению с 2014 годом  собственных доходов поступило на 16306,7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16,3%  больше.</w:t>
      </w:r>
    </w:p>
    <w:p w:rsidR="00ED5758" w:rsidRPr="00ED5758" w:rsidRDefault="00ED5758" w:rsidP="00ED57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доходов  районного бюджета характеризуется следующей таблице: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850"/>
        <w:gridCol w:w="1134"/>
        <w:gridCol w:w="851"/>
      </w:tblGrid>
      <w:tr w:rsidR="00ED5758" w:rsidRPr="00ED5758" w:rsidTr="00B20BF0">
        <w:trPr>
          <w:trHeight w:val="2254"/>
        </w:trPr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доходов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Структура в %, 2014 год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 за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 – всего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141098,7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100247,7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116554,4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109191,2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82571,0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89425,1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акцизного сбора на ГСМ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8877,6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15962,8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9307,1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10697,8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10947,1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151,7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69,2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Налог, взымаемый в связи с патентной системой налогообложения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28,8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724,8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1 848,7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2179,5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2964,6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658,1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и реализации имущества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924,4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1765,3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D5758" w:rsidRPr="00ED5758" w:rsidTr="00B20BF0">
        <w:tc>
          <w:tcPr>
            <w:tcW w:w="4679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Задолженность по отмененным налогам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Структура доходов районного бюджета в 2015 году показывает, что наибольший удельный вес в ней занимает налог на доходы физических лиц – 76,7%, что на 5,7% ниже уровня 2014 года.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Второе место по удельному весу в структуре доходов занимает единый налог на вмененный доход  9,4%, его удельный вес в структуре доходов 2015 года по сравнению с 2014 годом уменьшился на 1,3 % 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Уменьшение удельного веса основных доходных источников связано с увеличением доходов 2015 года за счет  доходов от акцизного сбора на ГСМ.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Темпы роста собственных доходов районного бюджета, независимо от кризисных явлений в экономике, с 2006 года растут, растет и их удельный вес в бюджете. 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несмотря на это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дотационность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районного бюджета очень высока, более 70,0%.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Нормативы отчислений от всех 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зачисляемых в районный бюджет в 2012 и 2013 годах были одинаковыми. В 2013 году в районный бюджет поступило 141098,7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налоговых платежей и сборов, что на 20087,7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или на 16,6% выше по сравнению с 2012 годом.  За  2014 года в районный бюджет поступило 100247,7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что на 40851,0 тыс. руб. или на 29,0% меньше по сравнению с 2013 годом. В 2014 году в районный бюджет норматив зачисления налога на доходы физических лиц уменьшился на 17,0%   по сравнению с 2013 годом и единый налог, уплачиваемый в связи с применением упрощенной системы налогообложения  в 2013 году в районный бюджет, в 2014 году в полном объеме зачислялся в областной бюджет. Если бы  на 2014 год налоги и нормативы их зачисления остались на уровне 2013 года, то и налоговые поступления в районный бюджет были на уровне поступлений 2013 года.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В бюджет муниципального района в 2015 году при плане 115093,0 тыс. руб. фактически поступило 116554,4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собственных доходов. Уточненный план выполнен на 101,3%. По сравнению с 2014 годом  собственных доходов поступило на 16306,7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16,3%  больше.                       Увеличение собственных доходов связано с зачислением в районный бюджет в 2015 году доходов от уплаты акцизного сбора на ГСМ и увеличением темпа роста  налоговых платежей.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Динамика поступлений в районный бюджет собственных доходов с 2006 года представлена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(тыс. руб.)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73"/>
        <w:gridCol w:w="1701"/>
        <w:gridCol w:w="2679"/>
        <w:gridCol w:w="1843"/>
      </w:tblGrid>
      <w:tr w:rsidR="00ED5758" w:rsidRPr="00ED5758" w:rsidTr="00B20BF0">
        <w:trPr>
          <w:trHeight w:val="1136"/>
        </w:trPr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Периоды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(годы)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Темп роста  к  предыдущему 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+ - к  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  в районном бюджете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24613,0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11,3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32293.0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131,2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7680,0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15,0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40952,0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126,8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8659,0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17,2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59049,0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144,2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18097,0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20,2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71979,0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121,9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12930,0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28,1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74960,0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104,1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2981,0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20,2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121011,0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161,4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46051,0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24,6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141098,7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116,6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20087,7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31,6</w:t>
            </w:r>
          </w:p>
        </w:tc>
      </w:tr>
      <w:tr w:rsidR="00ED5758" w:rsidRPr="00ED5758" w:rsidTr="00B20BF0">
        <w:trPr>
          <w:trHeight w:val="356"/>
        </w:trPr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100247,7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71,0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-40851,0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24,0</w:t>
            </w:r>
          </w:p>
        </w:tc>
      </w:tr>
      <w:tr w:rsidR="00ED5758" w:rsidRPr="00ED5758" w:rsidTr="00B20BF0"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7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116554,4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116,3</w:t>
            </w:r>
          </w:p>
        </w:tc>
        <w:tc>
          <w:tcPr>
            <w:tcW w:w="267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16306,7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25,3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1578C" wp14:editId="607887F9">
            <wp:extent cx="5816906" cy="3150824"/>
            <wp:effectExtent l="0" t="0" r="1270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Доходы районного бюджета формируются за счет налоговых  и неналоговых доходов.   На протяжении ряда лет основными налоговыми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даходами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формирующими районный бюджет являлись: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Налог на доходы физических лиц;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Единый налог на вмененный доход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Единый налог, уплачиваемый в связи с упрощенной системой налогообложения  до 2015 года;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Единый сельскохозяйственный налог;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Доходы от уплаты акцизного сбора на ГСМ с 2015 года;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Госпошлина;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не налоговым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доходам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формирующим   районный бюджет относятся следующие платежи и сборы: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получаемые в виде арендной платы за земельные участки;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Доходы от сдачи в аренду имущества;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Плата за негативное воздействие на окружающую среду;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Штрафы, санкции, возмещение ущерба: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Продажа земельных участков;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Прочие (доходы от реализации активов и имущества, прочие местные сборы).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D5758" w:rsidRPr="00ED5758" w:rsidTr="00B20BF0">
        <w:trPr>
          <w:trHeight w:val="676"/>
        </w:trPr>
        <w:tc>
          <w:tcPr>
            <w:tcW w:w="1595" w:type="dxa"/>
            <w:vMerge w:val="restart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595" w:type="dxa"/>
            <w:vMerge w:val="restart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доходы  (всего)</w:t>
            </w:r>
          </w:p>
        </w:tc>
        <w:tc>
          <w:tcPr>
            <w:tcW w:w="3190" w:type="dxa"/>
            <w:gridSpan w:val="2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3191" w:type="dxa"/>
            <w:gridSpan w:val="2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</w:tr>
      <w:tr w:rsidR="00ED5758" w:rsidRPr="00ED5758" w:rsidTr="00B20BF0">
        <w:trPr>
          <w:trHeight w:val="434"/>
        </w:trPr>
        <w:tc>
          <w:tcPr>
            <w:tcW w:w="1595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Уд. Вес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24613,0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22905,0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93,1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1708,0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6,9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32293,0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28814,0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89,2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3479,0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10,8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2008 год 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40952,0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36971,0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90,3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3981,0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9,7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59049,0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54817,0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92,8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4232,0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7,2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71979,0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66370,0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92,2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5609,0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74960,0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69643,0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92,9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5317,0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7,1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121011,0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116993,0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96,7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4018,0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3,3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141099,0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135430,0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96,0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5669,0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4,0</w:t>
            </w:r>
          </w:p>
        </w:tc>
      </w:tr>
      <w:tr w:rsidR="00ED5758" w:rsidRPr="00ED5758" w:rsidTr="00B20BF0">
        <w:trPr>
          <w:trHeight w:val="393"/>
        </w:trPr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100247,0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94265,0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94,0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5982,0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6,0</w:t>
            </w:r>
          </w:p>
        </w:tc>
      </w:tr>
      <w:tr w:rsidR="00ED5758" w:rsidRPr="00ED5758" w:rsidTr="00B20BF0"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116554,4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110410,5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94,7</w:t>
            </w:r>
          </w:p>
        </w:tc>
        <w:tc>
          <w:tcPr>
            <w:tcW w:w="159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6143,9</w:t>
            </w:r>
          </w:p>
        </w:tc>
        <w:tc>
          <w:tcPr>
            <w:tcW w:w="15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5,3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53DAAC" wp14:editId="7CF8A836">
            <wp:extent cx="5971142" cy="3062689"/>
            <wp:effectExtent l="0" t="0" r="1079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протяжении ряда лет в структуре собственных доходов районного бюджета наибольший удельный вес занимает  налог на доходы физических лиц  от 61,8% в 2007 году до 76,5% в 2009 году,  что  связано с процентом зачисления от базы в районный бюджет в 2007 году  32,0% , а в 2009 году -  50,0%. Из таблицы прослеживается увеличение удельного веса  НДФЛ в общих доходах районного бюджета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увеличением  процента зачислений в районный бюджет. Лишь в 2011 году прослеживается снижение темпов роста  НДФЛ, что связано с увеличением 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.01.2011 года норматива отчислений социальных налогов на 10,0%  с 24,2% в 2010 году до 34,2 в 2011 году на ФОТ. В результате при незначительном росте ФОТ с начислениями, начисления уменьшали чистый ФОТ. В 2013 году в районный бюджет  поступило 109191,2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( 10,0% по НК РФ и 68,0%  по межбюджетным отношениям  от субъекта  Брянская область) рост к предыдущему периоду составил 116,2%.    Поступление НДФЛ в районный бюджет в 2014 году  по сравнению с 2013 годом  меньше  на 26628,2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уменьшением нормативов зачисления в районный бюджет (5,0% по НК РФ и 56,0%  по межбюджетным отношениям от субъекта). В 2015 году нормативы зачисления НДФЛ в районный бюджет сохранены на уровне 2014 года. В 2015 году в районный бюджет  НДФЛ поступило 89425,1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6854,1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8,3% больше по сравнению с 2014 годом. Это связано с ростом  поступления НДФЛ от  ООО «Молоко», ЗАО «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Погарская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картофельная фабрика», филиал ОАО «Газпром газораспределение Брянск».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Динамика поступления НДФЛ за ряд лет в районный бюджет представлена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(тыс. руб.)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1409"/>
        <w:gridCol w:w="1313"/>
        <w:gridCol w:w="1705"/>
        <w:gridCol w:w="1660"/>
        <w:gridCol w:w="1701"/>
      </w:tblGrid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+ , - к предыдущему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18073,0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73,4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19968,0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110,5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1895,0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61,8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26899,8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134,7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6931,8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65,7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45162,3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167,9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18262,5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76,5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52764,6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116,8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7602,3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73,3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51493,8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97,6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-1270,8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68,7</w:t>
            </w:r>
          </w:p>
        </w:tc>
      </w:tr>
      <w:tr w:rsidR="00ED5758" w:rsidRPr="00ED5758" w:rsidTr="00B20BF0"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78,0%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93971,8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182,5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42478,0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77,7</w:t>
            </w:r>
          </w:p>
        </w:tc>
      </w:tr>
      <w:tr w:rsidR="00ED5758" w:rsidRPr="00ED5758" w:rsidTr="00B20BF0">
        <w:trPr>
          <w:trHeight w:val="317"/>
        </w:trPr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78,0%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109191,2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116,2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15219,4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77,4</w:t>
            </w:r>
          </w:p>
        </w:tc>
      </w:tr>
      <w:tr w:rsidR="00ED5758" w:rsidRPr="00ED5758" w:rsidTr="00B20BF0">
        <w:trPr>
          <w:trHeight w:val="317"/>
        </w:trPr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61,0%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82571,0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75,6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-26628,2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82,4</w:t>
            </w:r>
          </w:p>
        </w:tc>
      </w:tr>
      <w:tr w:rsidR="00ED5758" w:rsidRPr="00ED5758" w:rsidTr="00B20BF0">
        <w:trPr>
          <w:trHeight w:val="317"/>
        </w:trPr>
        <w:tc>
          <w:tcPr>
            <w:tcW w:w="127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9" w:type="dxa"/>
          </w:tcPr>
          <w:p w:rsidR="00ED5758" w:rsidRPr="00ED5758" w:rsidRDefault="00ED5758" w:rsidP="00ED57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61,0%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89425,1</w:t>
            </w:r>
          </w:p>
        </w:tc>
        <w:tc>
          <w:tcPr>
            <w:tcW w:w="170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108,3</w:t>
            </w:r>
          </w:p>
        </w:tc>
        <w:tc>
          <w:tcPr>
            <w:tcW w:w="16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6854,1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76,7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0D9E4" wp14:editId="4544056D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На втором месте по удельному весу в структуре собственных доходов до 2012 года  стоял единый налог на вмененный доход. Стабильное увеличение этого вида доходов с 2008 по 2012 годы связано с ежегодным повышением коэффициента К-1 на федеральном уровне и повышением коэффициента К-2,  принимаемого решениями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районного Совета </w:t>
      </w: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народных депутатов, а также роста торговых точек и площадей. Снижение налогового потенциала в 2013 году связано с тем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коэффициент К-2 не был пересмотрен, несмотря на уровень инфляции. Также снижение удельного веса в 2012 и 2013 годах в собственных доходах связано с переходом ряда предприятий малого бизнеса на упрощенную систему налогообложения. За  2015 года единого налога на вмененный доход  в районный бюджет поступило 10947,1 тыс. руб., что  на 249,3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или на 2,3% больше аналогичного периода прошлого года. Динамика поступления единого налога на вменный доход представлена 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налог на вмененный доход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16"/>
        <w:gridCol w:w="1701"/>
        <w:gridCol w:w="1660"/>
        <w:gridCol w:w="1701"/>
      </w:tblGrid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Вмененный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+ , - к предыдущему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4340,3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17,6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4367,3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100,6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27,0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13,5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4481,4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102,6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114,1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16,7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5744,3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128,2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1262,9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6707,3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116,8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963,0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9,3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8679,2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129,4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1971,9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11,6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9966,5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114,8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1287,3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8,2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9307,1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93,4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- 659,4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6,6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10697,8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114,9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1390,7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10,7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1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10947,1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102,3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249,3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9,4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7E28D" wp14:editId="09AB476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Единого сельхозналога в бюджет района в 2013 году поступило 152,0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при плане 145,0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План исполнен на 104,6%. По сравнению с 2012 годом его поступило на 49,1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или 47,9% больше. За 2015 года его поступило 207,3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что  на 138,1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больше аналогичного периода прошлого года. Скачкообразная динамика его поступления  связана не только с налогооблагаемой базой, но и с меняющимися нормативами зачисления, что подтверждается  следующей таблицей: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Единый сельхозналог                                                                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559"/>
        <w:gridCol w:w="1418"/>
        <w:gridCol w:w="1701"/>
      </w:tblGrid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сельхозналог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+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37,0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65,0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175,7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28,0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72,0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110,8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7,0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45,0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62,5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-27,0  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63,0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140,0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30,0%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35,0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55,6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-28,0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0,05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30,0%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103,0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294,3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68,0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152,0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144,6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49,0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69,2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45,4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- 82,8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0,07</w:t>
            </w:r>
          </w:p>
        </w:tc>
      </w:tr>
      <w:tr w:rsidR="00ED5758" w:rsidRPr="00ED5758" w:rsidTr="00B20BF0">
        <w:tc>
          <w:tcPr>
            <w:tcW w:w="156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417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207,3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299,6</w:t>
            </w:r>
          </w:p>
        </w:tc>
        <w:tc>
          <w:tcPr>
            <w:tcW w:w="1418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138,1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C33DA" wp14:editId="734DFEF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Значительное увеличение  поступления госпошлины в 2010 и 2011 годах связано с зачислением госпошлины  за регистрацию транспортных средств и транспортных знаков  в районный бюджет ( 2010 году 1459,0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2011 год  878,0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 В 2013 году в районный бюджет поступило 724,8 тыс. руб., что на 78,5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или на 12,1% больше по сравнению с 2012 годом. За  2014 год госпошлины в районный бюджет поступило 815,0 тыс. руб., что на 90,2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или на 12,4% больше чем в аналогичном периоде 2013 года.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2015 году в бюджет района поступило 852,4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госпошлины, что на 37,1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или на 4,6% больше по сравнению с 2014 годом.  Динамика поступления госпошлины в районный бюджет за ряд лет представлена в следующей таблице: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Госпошлина                        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743"/>
        <w:gridCol w:w="1955"/>
        <w:gridCol w:w="1559"/>
        <w:gridCol w:w="1882"/>
      </w:tblGrid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421,8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482,0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114,3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60,2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460,9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95,6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 21,1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1,1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487,3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105,7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26,4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1931,0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396,3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1443,7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2,7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1278,1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66,2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- 652,9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646,3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50,5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- 631,8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724,8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112,1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78,5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815,3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112,4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90,5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852,4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104,6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37,1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0,2</w:t>
            </w:r>
          </w:p>
        </w:tc>
      </w:tr>
      <w:tr w:rsidR="00ED5758" w:rsidRPr="00ED5758" w:rsidTr="00B20BF0">
        <w:tc>
          <w:tcPr>
            <w:tcW w:w="8240" w:type="dxa"/>
            <w:gridSpan w:val="5"/>
            <w:tcBorders>
              <w:left w:val="nil"/>
              <w:right w:val="nil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CEAA2" wp14:editId="5CA23319">
                  <wp:extent cx="5486400" cy="3200400"/>
                  <wp:effectExtent l="0" t="0" r="19050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   Доходы получаемые в виде арендной платы на земельные участки, </w:t>
            </w: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 собственность на которые не разграничена в соответствии  со статьей 62 БК РФ  районный бюджет  зачисляются  по нормативу 50,0% и 50,0% в бюджеты поселений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бюджете они имеют незначительный удельный вес, но динамика их стабильна  за счет востребованности  на земельные участки для жилищного строительства и для личного подсобного хозяйства. Снижение поступлений в 2009 году связано с оформлением заводом картофельного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гранулята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земель находящихся в аренде в собственность. Увеличение арендной платы  в 2013 году  по сравнению с 2012 годом на 659,4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. или на 55,4% связано с заключением  20 договоров аренды земли общей площадью 525,5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тыс.кв.метров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и с увеличением кадастровой стоимости земли с 1.01.2013 года.  За   2015 год в районный бюджет поступило 2964,6 тыс. руб. арендной платы за земельные участки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что на 785,1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. больше чем за аналогичный период  прошлого года. Рост арендной платы связан с увеличением ее стоимости.  Задолженность  по арендной плате на  01.01.2014 года составляла 1512,7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, а на 01.01.2015 года задолженность  составила 1925,6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., на 01.01.2016 года задолженность составляет 1995,1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Положением от 31.05.2002 года № 353 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 Комитет по управлению муниципальным имуществом  возложены функции по контролю поступлений доходов от арендной платы за землю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.  Комитетом осуществлялась претензионная работа с должниками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но Комитет не в полном объеме  выполнял возложенные на него функции по контролю поступлений от арендной платы за землю.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 данным Комитета  в период 2015 года  действовало  всего 480 договоров аренды земельных участков, расположенных на территории  15 поселений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Динамика поступления доходов  получаемых в виде арендной платы за земельные участки, государственная собственность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 за ряд лет  представлена в следующей таблице: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(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получаем. В виде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spellEnd"/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1432,5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5,8</w:t>
            </w:r>
          </w:p>
        </w:tc>
      </w:tr>
      <w:tr w:rsidR="00ED5758" w:rsidRPr="00ED5758" w:rsidTr="00B20BF0">
        <w:trPr>
          <w:trHeight w:val="84"/>
        </w:trPr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1168,0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81,5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- 264,5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3,6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787,7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67,4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- 380,3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1,9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1118,6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142,0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330,9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1,6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1143,9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102,3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25,3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2012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1189,4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104,0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45,5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1,0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1848,7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155,4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659,3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1,3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2179,5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117,9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330,8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2,2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2964,6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136,0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785,1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0,6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6EF6D" wp14:editId="7B3BF146">
            <wp:extent cx="5574535" cy="2798284"/>
            <wp:effectExtent l="0" t="0" r="2667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Удельный вес  доходов от сдачи в аренду имущества, находящегося в муниципальной собственности в районном бюджете незначителен. Увеличение поступления в 2010 и 2011 годах этого вида доходов произошло в связи с гашением недоимки прошлых лет. В 2012 и 2013 годах  темп роста данного вида дохода уменьшился. Это объясняется  отказом от аренды помещений из-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высоких коммунальных платежей.  В 2013 году доходы от аренды составили 658,1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163,9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19,9% меньше чем в 2012 году, в то же время   задолженность по платежам на 1.01.2013 года  составляла 88,5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а на 1.01.2014 года сложилась  в сумме 249,1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 2013 год задолженность увеличилась на  160,6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 даже если бы  задолженность не была допущена на лицо снижение начислений 2012 года по отношению к 2011 году и 2013 года по отношению к 2012 году  За   2015 года  в районный бюджет поступило 704,3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доходов от аренды имущества, что  на 9,0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1,3% больше  2014 года.  Задолженность по арендной плате муниципального имущества на 01.01.2015 года сложилась в сумме 69,6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 поступления доходов от сдачи в аренду имущества за ряд лет представлена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(тыс. руб.)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4"/>
        <w:gridCol w:w="1365"/>
        <w:gridCol w:w="1701"/>
        <w:gridCol w:w="1559"/>
        <w:gridCol w:w="2074"/>
      </w:tblGrid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(годы)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получаем.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От аренды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,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в </w:t>
            </w: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2006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359,3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452,1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125,8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92,8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1,4</w:t>
            </w:r>
          </w:p>
        </w:tc>
      </w:tr>
      <w:tr w:rsidR="00ED5758" w:rsidRPr="00ED5758" w:rsidTr="00B20BF0">
        <w:trPr>
          <w:trHeight w:val="387"/>
        </w:trPr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609,7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134,9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157,6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819,7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134,4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210,0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1003,6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122,4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183,9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1051,4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104,8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47,8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822,0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78,2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- 229,4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0,7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658,1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80,1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- 163,9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695,3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105,6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37,2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0,7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704,3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101,3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207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F4D85" wp14:editId="2EFDA236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2013 году в районный бюджет поступила плата  за негативное воздействие на окружающую среду в сумме 924,4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285,8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44,8% выше уровня 2012 года. Рост платежей в 2013 году связан с гашением недоимки прошлых лет, так недоимка на 1.01.2013 года составляла 730,2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а на 1.01.2014 года 123,4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За  2015 год  данные платежи в районный бюджет поступили в сумме 637,1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что по сравнению с аналогичным периодом прошлого года меньше на 191,8 тыс. руб. или  на 13,1%, так как в 2015 году ряд предприятий не уплатили текущие платежи. Поступление платежей за негативное воздействие на окружающую среду на протяжении ряда лет представлено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Плата за негативное воздействие на окружающую среду    (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61"/>
        <w:gridCol w:w="1701"/>
        <w:gridCol w:w="1559"/>
        <w:gridCol w:w="1701"/>
      </w:tblGrid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гативное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510,6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2,1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463,5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90,8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- 47,1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1,4</w:t>
            </w:r>
          </w:p>
        </w:tc>
      </w:tr>
      <w:tr w:rsidR="00ED5758" w:rsidRPr="00ED5758" w:rsidTr="00B20BF0">
        <w:trPr>
          <w:trHeight w:val="84"/>
        </w:trPr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615,3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132,8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151,8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530,5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86,2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- 84,8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0,9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561,1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105,8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30,6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631,6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112,6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70,5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638,6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101,1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7,0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924,4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144,8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285,8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828,9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89,7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- 95,5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637,1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76,9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-191,8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6F9E8" wp14:editId="7C0DF179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Динамика поступления штрафных санкций, возмещения ущерба показывает, что высокий темп роста в 2009-2011 годах обусловлен увеличением штрафных санкций  за безопасность дорожного движения, которые зачислялись в районный бюджет (2009 год- 1194,9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2010 год- 1274,9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2011 год – 739,7 тыс.руб.0. Уменьшение поступления штрафных санкций в районный бюджет в 2012 и 2013 годах связано с зачислением поступлений штрафных санкций по безопасности дорожного движения  в областной бюджет.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Платежей от штрафных санкций в 2013 году поступило 1246,8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сравнению с 2012 годом их поступило на 394,8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46,3% больше и их удельный вес  в объеме собственных доходов составил 0,9%. За   2014 год  платежей от штрафных санкций в районный бюджет поступило 1765,0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518,2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41,6% больше чем за аналогичный период прошлого года. Рост поступлений штрафных санкций в 2013 году и в 2014 году связан с ростом платежей от  штрафных санкций миграционной службы за нарушения в этой области.  В 2015 году платежей от штрафных санкций по сравнению с 2014 годом уменьшилось на 425,3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24,3%  их поступление составило 1337,0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что связано с изменением нормативной базы по их зачислению в бюджеты разного уровня. Динамика поступления штрафных санкций в районный бюджет представлена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Штрафы, санкции, возмещение ущерба                                     ( </w:t>
      </w:r>
      <w:proofErr w:type="spell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8"/>
        <w:gridCol w:w="1701"/>
        <w:gridCol w:w="1559"/>
        <w:gridCol w:w="1701"/>
      </w:tblGrid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790,6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3,2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1077,0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136,2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286,4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3,3</w:t>
            </w:r>
          </w:p>
        </w:tc>
      </w:tr>
      <w:tr w:rsidR="00ED5758" w:rsidRPr="00ED5758" w:rsidTr="00B20BF0">
        <w:trPr>
          <w:trHeight w:val="84"/>
        </w:trPr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1204,4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111,8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127,4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2,9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1936,6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160,8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732,2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3,3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2334,2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120,5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397,6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3,2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1826,5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78,3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- 507,7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2,4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852,0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46,6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- 974,5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0,7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1246,8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146,3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394,8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0,9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1765,3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141,6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518,5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1,8</w:t>
            </w:r>
          </w:p>
        </w:tc>
      </w:tr>
      <w:tr w:rsidR="00ED5758" w:rsidRPr="00ED5758" w:rsidTr="00B20BF0">
        <w:tc>
          <w:tcPr>
            <w:tcW w:w="191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1337,0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24,3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-428,3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0,3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BDED6C" wp14:editId="3A4A236C">
            <wp:extent cx="5728771" cy="3194892"/>
            <wp:effectExtent l="0" t="0" r="24765" b="247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5758" w:rsidRPr="00ED5758" w:rsidRDefault="00ED5758" w:rsidP="00ED57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Безвозмездные поступления из областного бюджета в доходную часть районного бюджета в 2015 году составили 345024,8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что на 27203,0 тыс. руб. больше чем в 2014 году.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дотаций поступило 64627,4 тыс. руб.: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дотация на выравнивание бюджетной обеспеченности в сумме               16880,0 тыс. руб.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дотация на поддержку мер по обеспечению сбалансированности      бюджетов в сумме 47747,0 тыс. руб.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65"/>
        <w:gridCol w:w="2389"/>
        <w:gridCol w:w="16"/>
        <w:gridCol w:w="1433"/>
        <w:gridCol w:w="2552"/>
        <w:gridCol w:w="1523"/>
      </w:tblGrid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поддержку мер по </w:t>
            </w: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сбаланситованности</w:t>
            </w:r>
            <w:proofErr w:type="spell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40736,0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24517,0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40288,0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98,9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20108,0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82,0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34823,0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86,4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28503,0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141,7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  578,0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1,7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45443,0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159,4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2256,0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390,3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48399,9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106,5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12680,0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562,0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64518,9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133,3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12812,0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101,0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62078,2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96,2</w:t>
            </w:r>
          </w:p>
        </w:tc>
      </w:tr>
      <w:tr w:rsidR="00ED5758" w:rsidRPr="00ED5758" w:rsidTr="00B20BF0">
        <w:tc>
          <w:tcPr>
            <w:tcW w:w="6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16880,0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131,8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47747,0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76,9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 таблицы видно, что в 2011 году резко уменьшены дотации на     17305 тыс. руб. или на 27,3%  по сравнению с  2010 годом и с периодом 2007- 2010 годы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послужило образованию кредиторской задолженности в        2011 году.  В 2012 году в районный бюджет поступило дотаций в сумме             50655,9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4634,9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10,1%  больше по сравнению с 2011 годом. В 2013 году в районный бюджет поступило  дотаций в сумме 77198,9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по сравнению с 2012 годом больше на 26543,0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52,4%. В 2015 году в районный бюджет поступило дотаций в сумме 64627,4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по сравнению с 2014 годом меньше на 10262,8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13,7%.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в бюджет района поступило субсидий 29503,0 тыс. руб. – исполнение составило   27391,6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 92,8%.   По сравнению с           2014 годом поступление субсидий из вышестоящего бюджета увеличилось на 16778,9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158,1%.        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субсидий постоянно меняются и за 2015 год  в сравнении с 2014 годом представлены в следующей таблице: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</w:p>
    <w:tbl>
      <w:tblPr>
        <w:tblStyle w:val="a3"/>
        <w:tblW w:w="9783" w:type="dxa"/>
        <w:jc w:val="center"/>
        <w:tblInd w:w="11" w:type="dxa"/>
        <w:tblLook w:val="04A0" w:firstRow="1" w:lastRow="0" w:firstColumn="1" w:lastColumn="0" w:noHBand="0" w:noVBand="1"/>
      </w:tblPr>
      <w:tblGrid>
        <w:gridCol w:w="4575"/>
        <w:gridCol w:w="1134"/>
        <w:gridCol w:w="1134"/>
        <w:gridCol w:w="1134"/>
        <w:gridCol w:w="920"/>
        <w:gridCol w:w="886"/>
      </w:tblGrid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Факт 2014 год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 2015 года к 2014 году</w:t>
            </w:r>
          </w:p>
        </w:tc>
      </w:tr>
      <w:tr w:rsidR="00ED5758" w:rsidRPr="00ED5758" w:rsidTr="00B20BF0">
        <w:trPr>
          <w:trHeight w:val="1553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 по ДЦП «Обеспечение жильем молодых семей»  (2011-2015г.)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1788,4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rPr>
          <w:trHeight w:val="2367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21293,6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21293,6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rPr>
          <w:trHeight w:val="2367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Субсидия на организацию мероприятий ГП РФ «Доступная среда»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на подготовку объектов ЖКХ к зиме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537,4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Субсидия  ДЦП «Демографическое развитие Брянской области»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1688,4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1446,0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1446,0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ДЦП «Развитие образования Брянской  области» 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rPr>
          <w:trHeight w:val="855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специализированной техники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ED5758" w:rsidRPr="00ED5758" w:rsidTr="00B20BF0">
        <w:trPr>
          <w:trHeight w:val="876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Субсидия на ФЦП «Культура России» (2012-2018 годы»</w:t>
            </w:r>
            <w:proofErr w:type="gramEnd"/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проведение мероприятий по оздоровлению детей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586,3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586,3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ED5758" w:rsidRPr="00ED5758" w:rsidTr="00B20BF0">
        <w:trPr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ДЦП «Развитие физической культуры и спорта Брянской области» (2010-</w:t>
            </w: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2015)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2207,0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Субсидия на отдельные мероприятия на культуру и туризм 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9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на поддержку малого предпринимательства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8"/>
          <w:jc w:val="center"/>
        </w:trPr>
        <w:tc>
          <w:tcPr>
            <w:tcW w:w="457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 10612,7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29503,0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27391,6</w:t>
            </w:r>
          </w:p>
        </w:tc>
        <w:tc>
          <w:tcPr>
            <w:tcW w:w="9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88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2015 году было израсходовано 232122,6 тыс. руб. субвенций при плане 232520,7тыс. руб. План исполнен на 99,8%. По сравнению с 2014 годом денежных средств в виде субвенций использовано больше  на 633,6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0,3%.  Виды субвенций за 2015 год в сравнении с 2014 годом  представлены в следующей таблице:                                                                   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                                                                                                                                </w:t>
      </w:r>
    </w:p>
    <w:tbl>
      <w:tblPr>
        <w:tblStyle w:val="a3"/>
        <w:tblW w:w="9598" w:type="dxa"/>
        <w:jc w:val="center"/>
        <w:tblLayout w:type="fixed"/>
        <w:tblLook w:val="04A0" w:firstRow="1" w:lastRow="0" w:firstColumn="1" w:lastColumn="0" w:noHBand="0" w:noVBand="1"/>
      </w:tblPr>
      <w:tblGrid>
        <w:gridCol w:w="4234"/>
        <w:gridCol w:w="1134"/>
        <w:gridCol w:w="1134"/>
        <w:gridCol w:w="1134"/>
        <w:gridCol w:w="992"/>
        <w:gridCol w:w="970"/>
      </w:tblGrid>
      <w:tr w:rsidR="00ED5758" w:rsidRPr="00ED5758" w:rsidTr="00B20BF0">
        <w:trPr>
          <w:trHeight w:val="2678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План 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 исполнения плана 2015 года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% 2015 года к 2014 году</w:t>
            </w:r>
          </w:p>
        </w:tc>
      </w:tr>
      <w:tr w:rsidR="00ED5758" w:rsidRPr="00ED5758" w:rsidTr="00B20BF0">
        <w:trPr>
          <w:trHeight w:val="419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составление списков кандидатов в присяжные заседатели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выплату единовременного пособия при всех формах устройства детей, лишённых родительского </w:t>
            </w: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в семью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городских округов на ежемесячное вознаграждение за классное руководство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обеспечение сохранности жилых помещений, закреплённых за детьми-сиротами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для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rPr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предоставление мер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в сельской местности или посёлках городского типа на территории Брянской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13737,2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10654,9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10654,9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ED5758" w:rsidRPr="00ED5758" w:rsidTr="00B20BF0">
        <w:trPr>
          <w:trHeight w:val="2678"/>
          <w:jc w:val="center"/>
        </w:trPr>
        <w:tc>
          <w:tcPr>
            <w:tcW w:w="42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из регионального фонда компенсаций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1108,7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1108,7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по выплате ежемесячных денежных средств на содержание и проезд ребёнка (опекуну) попечителю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7741,2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7384,3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7191,7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 обеспечение жилыми помещениями детей-сирот, оставшихся без попечения родителей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6116,4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5060,7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5060,7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6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городских округов на компенсацию части родительской платы на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970,1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292,3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бюджетам городских округов по финансированию общеобразовательных учреждений в части обеспечения реализации основных общеобразовательных программ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129255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132540,7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132540,7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Субвенция на финансовое обеспечение получения дошкольного образования в дошкольных образовательных учреждениях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43589,4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46362,6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46362,6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1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сельской местности или посёлках  городского типа на территории Брянской области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2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отдельных полномочий органов государственной власти Брянской области по расчёту и предоставлению дотаций поселениям на выравнивание уровня бюджетной обеспеченности за счёт средств областного бюджета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6359,7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на поддержку мер по обеспечению сбалансированности бюджетов поселений 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21304,1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16985,4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16985,4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6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для предоставления субвенций поселениям на оказание мер социальной поддержки по оплате жилья и коммунальных  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категориям граждан, работающих в сельской местности или посёлках городского типа на территории Брянской области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6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(городских округов) для осуществления отдельных государственных полномочий Брянской области в области охраны труда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для ликвидации болезней животных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1"/>
          <w:jc w:val="center"/>
        </w:trPr>
        <w:tc>
          <w:tcPr>
            <w:tcW w:w="42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231489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232520,7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232122,6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7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Иные межбюджетные трансферы в сумме 22365,9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исполнены на 96,8%., из которых 18581,7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денежные средства передаваемые району из бюджетов поселений  на осуществление части полномочий по решению вопросов местного значения в соответствии с заключенными соглашениями. </w:t>
      </w:r>
    </w:p>
    <w:p w:rsidR="00ED5758" w:rsidRPr="00ED5758" w:rsidRDefault="00ED5758" w:rsidP="00ED575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B71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по расходам.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районного Совета народных депутатов от 26.12.2014 года    №5-35 «О бюджете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2015 год и на плановый период 2016 и 2017 годов» первоначальные бюджетные расходы были утверждены в сумме 411020,3 тыс. руб. В процессе исполнения бюджет корректировался 7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районного Совета народных депутатов от 28.12.2015 года  №5-111, бюджетные ассигнования по расходам утверждены в сумме 469957,8тыс. руб., первоначально утверждённые расходы были увеличены на 14,3%.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Динамика исполнения расходной части районного бюджета за          2010 -2015 г. представлены в таблице:    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(тыс. руб.)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276"/>
        <w:gridCol w:w="1276"/>
        <w:gridCol w:w="1276"/>
        <w:gridCol w:w="1275"/>
      </w:tblGrid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19 531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21 029,3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25632,7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31508,4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46 070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670,5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711,4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правоохранительная деятельность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456,0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1186,7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1922,2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4 807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4316,9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28152,8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35608,3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9560,5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34179,9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34573,3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3223,8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4712,8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1019,4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2766,1</w:t>
            </w:r>
          </w:p>
        </w:tc>
      </w:tr>
      <w:tr w:rsidR="00ED5758" w:rsidRPr="00ED5758" w:rsidTr="00B20BF0">
        <w:trPr>
          <w:trHeight w:val="790"/>
        </w:trPr>
        <w:tc>
          <w:tcPr>
            <w:tcW w:w="2093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209 908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</w:tr>
      <w:tr w:rsidR="00ED5758" w:rsidRPr="00ED5758" w:rsidTr="00B20BF0">
        <w:trPr>
          <w:trHeight w:val="662"/>
        </w:trPr>
        <w:tc>
          <w:tcPr>
            <w:tcW w:w="2093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15642,0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2549,3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5568,7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2266,7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25136,1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12 711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14 396,8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18563,5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21833,3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2510,8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6367,8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8205,3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8216,6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56 655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38525,0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41286,5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34854,9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29907,7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27006,3</w:t>
            </w:r>
          </w:p>
        </w:tc>
      </w:tr>
      <w:tr w:rsidR="00ED5758" w:rsidRPr="00ED5758" w:rsidTr="00B20BF0">
        <w:trPr>
          <w:trHeight w:val="732"/>
        </w:trPr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351 450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373 989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417001,2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472945,3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420215,9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463004,6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 предыдущему году 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</w:tbl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видно из таблицы, за шесть лет расходы районного бюджета увеличились в 1,3 раза. Вместе с тем, темпы роста расходной части районного бюджета имеют  скачкообразный характер.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исполнения расходов районного бюджета по разделам функциональной классификации расходов за 2015 год, представлен в следующей таблице:      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(тыс. руб.)</w:t>
      </w:r>
    </w:p>
    <w:tbl>
      <w:tblPr>
        <w:tblStyle w:val="a3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567"/>
        <w:gridCol w:w="1285"/>
        <w:gridCol w:w="1267"/>
        <w:gridCol w:w="1275"/>
        <w:gridCol w:w="993"/>
        <w:gridCol w:w="992"/>
        <w:gridCol w:w="850"/>
        <w:gridCol w:w="860"/>
      </w:tblGrid>
      <w:tr w:rsidR="00ED5758" w:rsidRPr="00ED5758" w:rsidTr="00B20BF0">
        <w:trPr>
          <w:trHeight w:val="764"/>
          <w:jc w:val="center"/>
        </w:trPr>
        <w:tc>
          <w:tcPr>
            <w:tcW w:w="2138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разделов, функциональная классификация расходов</w:t>
            </w:r>
          </w:p>
        </w:tc>
        <w:tc>
          <w:tcPr>
            <w:tcW w:w="567" w:type="dxa"/>
            <w:vMerge w:val="restart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з   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D5758" w:rsidRPr="00ED5758" w:rsidTr="00B20BF0">
        <w:trPr>
          <w:trHeight w:val="607"/>
          <w:jc w:val="center"/>
        </w:trPr>
        <w:tc>
          <w:tcPr>
            <w:tcW w:w="2138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32033,5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807,2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  807,2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5758" w:rsidRPr="00ED5758" w:rsidTr="00B20BF0">
        <w:trPr>
          <w:trHeight w:val="1258"/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2103,4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1922,2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  9560,5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34501,5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34179,9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1019,4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2491,2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5758" w:rsidRPr="00ED5758" w:rsidTr="00B20BF0">
        <w:trPr>
          <w:trHeight w:val="891"/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3120,2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2766,1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790,3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309363,9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2266,7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26210,4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25136,1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24008,6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8205 ,3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8311,6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29907,7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27006,3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27006,3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ED5758" w:rsidRPr="00ED5758" w:rsidTr="00B20BF0">
        <w:trPr>
          <w:jc w:val="center"/>
        </w:trPr>
        <w:tc>
          <w:tcPr>
            <w:tcW w:w="213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420215,9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469957,8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463004,6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110,2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Районный бюджет за 2015 год исполнен в сумме 463004,6 тыс. руб., что составляет 98,5% плановых назначений. По сравнению с 2014 годом, расходная часть бюджета увеличилась на 42788,7 тыс. руб. или на 10,2% 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расходы районного бюджета, исполнены в следующих объёмах: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общегосударственные вопросы выполнены на 99,2 %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национальная оборона на 100,0%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национальная безопасность и правоохранительная деятельность на 91,4%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национальная экономика на 99,1%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жилищно-коммунальное хозяйство на 100,0%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охрана окружающей среды на 88,7%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образование на 99,1%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культура и кинематография на 95,9%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социальная политика на 91,6%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физическая культура и спорт на 98,9%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межбюджетные трансферты на 100,0%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в полном объёме расходы выполнены  по разделам 02 «Национальная оборона»,  05 «Жилищно-коммунальное хозяйство»,  и 14 «Межбюджетные трансферты».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процент исполнения сложился по разделу 03 «Национальная безопасность и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правохранительная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деятельность» -91,4%, 06 «Охрана окружающей среды» - 88,7%, и 10 «Социальная политика» - 91,6%.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разделу 01 «Общегосударственные вопросы»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отражены расходы на обеспечение функционирования представительного органа муниципального образования, функционирования местной администрации, финансового органа, комитета по управлению муниципальным имуществом  и Контрольно-счетной палаты.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управленческих расходов в объёме расходов районного бюджета в 2015 году составил 6,9%.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 управленческих расходов за ряд лет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880"/>
        <w:gridCol w:w="2315"/>
        <w:gridCol w:w="2345"/>
      </w:tblGrid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Расходы на общегосударственные вопросы (тыс. руб.)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Рост к предыдущему году 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Удельный вес    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 к общим расходам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17 198,0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20 081,0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19 531,0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21 029,0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25632,7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31508,4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ED5758" w:rsidRPr="00ED5758" w:rsidTr="00B20BF0">
        <w:tc>
          <w:tcPr>
            <w:tcW w:w="231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  <w:tc>
          <w:tcPr>
            <w:tcW w:w="231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34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</w:tbl>
    <w:p w:rsidR="00ED5758" w:rsidRPr="00ED5758" w:rsidRDefault="00ED5758" w:rsidP="00ED57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F1C5F0" wp14:editId="424377C2">
            <wp:extent cx="5739788" cy="2412694"/>
            <wp:effectExtent l="0" t="0" r="13335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таблицы видно, что удельный вес управленческих расходов в общем объёме расходов колеблется от 5,6% в 2010-2011годах до 6,6% в 2013 году, что связано в 2013 году с ремонтом здания администрации (замена окон, проводки и др.), которое эксплуатируется без капитального ремонта около 50 лет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2015 году несмотря на увеличение управленческих расходов по сравнению с 2014 годом на 1713,8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5,7 % их удельный вес в общих расходах уменьшился до 6,9 % в связи с уменьшением общих расходов бюджета на 2,1%.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разделу  02 «Национальная оборона» расходы представлены мобилизационной и вневойсковой подготовкой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2015 году на эти цели было израсходовано 807,2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на 72,1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9,8% больше по сравнению с 2014 годом.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разделу 03 «Национальная безопасность и правоохранительная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деятельность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в 2014 году израсходовано 1922,2 тыс. руб. По  сравнению с 2014 годом  расходы увеличились  на 573,1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42,5%.  Удельный вес расходов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разделу 03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общем объеме расходов районного бюджета в 2015 году составил 0,4%, что на 0,1% больше 2014 года. Увеличение расходов  связанно с  направлением средств резервного фонда администрации района  на мероприятия по обеспечению противопожарной безопасности  в сумме 803,4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На содержание ЕДДС из средств районного бюджета  было направлено 1118,8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вес расходов по разделу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объёме расходов  районного бюджета колеблется из-за передачи средств дорожного фонда  на ремонт дорог местного значения из бюджетов поселений в бюджет района и наоборот.   В 2012 году  расходы по этому разделу составили 28152,8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 их удельный вес в общем объеме расходов районного бюджета составил 6,8%. В 2013 году расходы по этому разделу сложились в сумме 35608,3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и их удельный вес в бюджете возрос до 7,5 %. В 2014 году расходы по разделу «Национальная экономика»  произведены в сумме 9560,5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их удельный вес составил 2,3%, что  связано с уходом расходов по ремонту дорог общего пользования местного значения в бюджеты поселений и значительным уменьшением расходов на мероприятия по безопасности гидротехнических сооружений. Расходы  по данному разделу в 2014 году сложились в сумме 34179,9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их удельный вес  в общих расходах бюджета составил 7,4%.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указанному разделу отражены расходы по программе «Реализация полномочий администрации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 (2014-2017 годы):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на реализацию мероприятий  по подразделу 04 06 «Водное хозяйство» за счет средств районного и областного бюджетов в 2015 году было направлено 1543,0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(на приобретение экскаватора-погрузчика «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Амкодор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848,0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на мероприятия по реконструкции, модернизации и  развития систем водоснабжения и водоотведения 664,7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на подключение наружного водопровода к жилому дому в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ородище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на реализацию мероприятий  по подразделу 04 09 «Дорожное хозяйство»   в 2015 году было направлено 32130,1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осуществление  полномочий в области охраны труда было направлено 161,4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государственную поддержку малого и среднего предпринимательства была выделена субсидия в сумме 200,0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на реализацию мероприятий в сфере занятости населения  в 2015 году за счет средств областного бюджета было направлено 145,4 тыс. руб.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по разделу 05 «Жилищно-коммунальное хозяйство»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 2015 год   сложились в сумме 2490,7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, их удельный вес в общих расходах районного бюджета составил 0,5%. По сравнению с 2014 годом расходы увеличились на 1471,3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144,3%.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данному разделу отражены расходы по программе «Реализация полномочий администрации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 (2013-2016годы):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на приобретение экскаватора-погрузчика «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Амкодор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стоимостью 1793,3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доля областного бюджета 945,3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  на подготовку объектов ЖКХ к зимним условиям за счет субсидий областного бюджета и средств районного бюджета в 2015 году было направлено 1389,1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По данному разделу отражены расходы из резервного фонда администрации района в сумме 156,3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благоустройство (на ремонт памятников).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Расходы по разделу 06 « Охрана окружающей среды»  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2015 год  представлены расходами по строительству полигона твердых бытовых отходов в сумме 2766,1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Денежные средства в сумме 353,5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предусмотренные в бюджете для погашения кредиторской задолженности за вывоз ядохимикатов не использованы.</w:t>
      </w:r>
    </w:p>
    <w:p w:rsidR="00ED5758" w:rsidRPr="00ED5758" w:rsidRDefault="00ED5758" w:rsidP="00ED57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Наибольший удельный вес в общих расходах районного бюджета приходится на раздел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07 «Образование»,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и видно в следующей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Объём расходов на отрасль «Образование» (тыс. руб.)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ст к  пр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едыдущему году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 к общим расходам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(без межбюджетных трансфертов)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167 088,0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202 268,0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209 908,0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81BB3" wp14:editId="2F9BA2FB">
            <wp:extent cx="5993176" cy="2038121"/>
            <wp:effectExtent l="0" t="0" r="26670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 шесть лет с 2008-2013 годы расходы на образование увеличились на 163160,0 тыс. руб. или в 2,0 раза. Впервые снижение роста затрат на «Образование» наблюдается в 2014 году. По сравнению с 2013 годом затраты уменьшились на 18228,5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5,5%. В 2015 году затраты на образование по сравнению с 2014 годом уменьшились на 5311,0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1,7%.  Основная доля расходов в образовании  приходится на общее образование и дошкольное образование. </w:t>
      </w:r>
    </w:p>
    <w:p w:rsidR="00ED5758" w:rsidRPr="00ED5758" w:rsidRDefault="00ED5758" w:rsidP="00ED575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(тыс. руб.)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21"/>
        <w:gridCol w:w="1134"/>
        <w:gridCol w:w="1364"/>
        <w:gridCol w:w="1276"/>
        <w:gridCol w:w="1417"/>
        <w:gridCol w:w="1418"/>
        <w:gridCol w:w="1417"/>
      </w:tblGrid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209 908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155 940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167 881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201309,2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220344,9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212452,1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209166,2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41 469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47 406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57176,8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73180,4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62631,8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63422,4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Прочие расходы в образовании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12 499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25 720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32249,5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36722,7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36935,6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34119,9</w:t>
            </w:r>
          </w:p>
        </w:tc>
      </w:tr>
      <w:tr w:rsidR="00ED5758" w:rsidRPr="00ED5758" w:rsidTr="00B20BF0">
        <w:tc>
          <w:tcPr>
            <w:tcW w:w="1721" w:type="dxa"/>
          </w:tcPr>
          <w:p w:rsidR="00ED5758" w:rsidRPr="00ED5758" w:rsidRDefault="00ED5758" w:rsidP="00ED57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</w:tbl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таблицы видно, что стабильно растёт удельный вес расходов на дошкольное образование – с 19,7% в 2011 году до 22,2% в 2013 году. Это связано с ростом рождаемости детей за последние семь лет. В 2010 году  средняя посещаемость в детских садах была 775 детей, в 2013 году –  средняя посещаемость составила 870 детей, в 2014 средняя посещаемость составила 875 детей, В 2015 году средняя посещаемость составила 876 детей.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в разрезе подразделов отрасли образование за 2015 год представлены в следующей таблице:</w:t>
      </w:r>
    </w:p>
    <w:p w:rsidR="00ED5758" w:rsidRPr="00ED5758" w:rsidRDefault="00ED5758" w:rsidP="00ED575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руб.)                                          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134"/>
        <w:gridCol w:w="993"/>
        <w:gridCol w:w="992"/>
        <w:gridCol w:w="992"/>
      </w:tblGrid>
      <w:tr w:rsidR="00ED5758" w:rsidRPr="00ED5758" w:rsidTr="00B20BF0">
        <w:trPr>
          <w:trHeight w:val="712"/>
        </w:trPr>
        <w:tc>
          <w:tcPr>
            <w:tcW w:w="2093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Исполнено за 2013 год</w:t>
            </w:r>
          </w:p>
        </w:tc>
        <w:tc>
          <w:tcPr>
            <w:tcW w:w="1276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Утверждено на 2015год</w:t>
            </w:r>
          </w:p>
        </w:tc>
        <w:tc>
          <w:tcPr>
            <w:tcW w:w="1275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 xml:space="preserve">Исполнение бюджета </w:t>
            </w:r>
            <w:proofErr w:type="gramStart"/>
            <w:r w:rsidRPr="00ED575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 xml:space="preserve">Структура расходов </w:t>
            </w:r>
            <w:proofErr w:type="gramStart"/>
            <w:r w:rsidRPr="00ED575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ED5758" w:rsidRPr="00ED5758" w:rsidTr="00B20BF0">
        <w:trPr>
          <w:trHeight w:val="825"/>
        </w:trPr>
        <w:tc>
          <w:tcPr>
            <w:tcW w:w="2093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к плану 2015 г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к факту 2015г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2014  год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0701</w:t>
            </w: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Дошкольное образование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62631,8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64777,0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63422,4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0702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212452,1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210380,3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209166,2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0709</w:t>
            </w: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Другие вопросы в области образования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36329,2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33499,6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33413,0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D5758" w:rsidRPr="00ED5758" w:rsidTr="00B20BF0">
        <w:tc>
          <w:tcPr>
            <w:tcW w:w="20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312019,5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309363,9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306708,5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По разделу 0701 « Расходы по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дошкольному образованию»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впервые уменьшились на 10248,6 тыс. руб. или на  14,4%  в 2014 году по сравнению с 2013 годом и в 2015 году по сравнению с 2014 годом увеличились лишь на 3157,3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1,3%  и составили 63422,4 тыс. руб.  Их удельный вес в общих расходах на образование составил 20,7%., что на 0,6% больше по сравнению с 2014 годом.  Плановые  бюджетные обязательства исполнены  на 97,9%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содержание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 дошкольных учреждений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которых  среднесписочная численность детей на конец года составила 876 детей, в 2015 году было направлено    63422,4 тыс. руб. На 1 января 2016 года число групп в садах составило 47, штатная численность – 273,4 единиц, в том числе 89,1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18 – руководящих и 166,3 единиц  младшего обслуживающего персонала.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2015 год в рамках оптимизации расходов по сравнению с 2014 годом количество групп уменьшилось на 1 единицу, штатная численность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8,75 единиц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шесть лет количество детей в детских садах увеличилось на 101 ребенка. Содержание 1 ребёнка в день в 2014 году обошлось бюджету в  72,4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год, что  на 0,8 тыс. руб.  или на 1,1% больше по сравнению с 2014 годом.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Расходы в разрезе статей экономической классификации по содержанию детских дошкольных учреждений сложились следующим образом:</w:t>
      </w:r>
    </w:p>
    <w:p w:rsidR="00ED5758" w:rsidRPr="00ED5758" w:rsidRDefault="00ED5758" w:rsidP="00ED5758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992"/>
        <w:gridCol w:w="992"/>
        <w:gridCol w:w="992"/>
        <w:gridCol w:w="851"/>
      </w:tblGrid>
      <w:tr w:rsidR="00ED5758" w:rsidRPr="00ED5758" w:rsidTr="00B20BF0">
        <w:trPr>
          <w:trHeight w:val="330"/>
        </w:trPr>
        <w:tc>
          <w:tcPr>
            <w:tcW w:w="280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2015год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39"/>
        </w:trPr>
        <w:tc>
          <w:tcPr>
            <w:tcW w:w="280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к плану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rPr>
          <w:trHeight w:val="408"/>
        </w:trPr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33894,1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36950,0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36885,1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58,2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                        «Прочие выплаты»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17,7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8,0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9858,5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10550,0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10487,4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159,7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            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          «Коммунальные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6054,5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5940,9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9,4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                       «Услуги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1946,2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3,1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                       «Прочие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545,1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0,9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                        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2928,2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2142,2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2027,5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94,6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4,7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5758" w:rsidRPr="00ED5758" w:rsidTr="00B20BF0"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               «Увеличение стоимости основных средств»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77,2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rPr>
          <w:trHeight w:val="800"/>
        </w:trPr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5276,2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5334,4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8,4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D5758" w:rsidRPr="00ED5758" w:rsidTr="00B20BF0">
        <w:trPr>
          <w:trHeight w:val="800"/>
        </w:trPr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53,7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rPr>
          <w:trHeight w:val="406"/>
        </w:trPr>
        <w:tc>
          <w:tcPr>
            <w:tcW w:w="280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62631,8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64777,0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63422,4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Из таблицы видно, что наибольший удельный вес в структуре расходов в разрезе статей  и подстатей КОСГУ составили « Расходы на оплату труда с начислениями» (подстатьи 211-213) – 74,7%. По сравнению с 2014 годом  расходы по оплате труда с начислениями увеличились на 3609,6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8,2% и составили 47379,9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«Расходы по содержанию имущества» подстатьи ( 221-226)  в структуре расходов составляют 13,2%, по сравнению с 2013 годом они уменьшились на 377,6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 4,3% и составили 8352,3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«Расходы по увеличению стоимости основных средств и материальных запасов» (подстатьи 310-340) в структуре расходов составляют 8,7% , по сравнению с  2014 годом они уменьшились на 148,8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2,6% и составили 5554,6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По разделу 0702 «Расходы на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общее образование»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представлены расходами на содержание 28 общеобразовательных школ, детской юношеской спортивной школы, Дома детского творчества, детской школы искусств,  ГП « Развитие образования  Брянской области» характеризуются данными следующей таблицы:</w:t>
      </w: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992"/>
        <w:gridCol w:w="992"/>
        <w:gridCol w:w="992"/>
        <w:gridCol w:w="851"/>
      </w:tblGrid>
      <w:tr w:rsidR="00ED5758" w:rsidRPr="00ED5758" w:rsidTr="00B20BF0">
        <w:trPr>
          <w:trHeight w:val="311"/>
        </w:trPr>
        <w:tc>
          <w:tcPr>
            <w:tcW w:w="2660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276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 2015год.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62"/>
        </w:trPr>
        <w:tc>
          <w:tcPr>
            <w:tcW w:w="2660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rPr>
          <w:trHeight w:val="398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192768,8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192327,5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191160,3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90,7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2295,1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2565,8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2548,7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4453,6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4960,5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5975,6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7293,9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7264,1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2,8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Предоставление дополнительных мер по поддержке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1688,4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общего образования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1746,1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 вознаграждение за классное руководство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Мероприятия по ГП «Доступная среда»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занятия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-рой и спортом в селе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ФЦП «Культура России (2012-2018годы)»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rPr>
          <w:trHeight w:val="632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образование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212452,1</w:t>
            </w:r>
          </w:p>
        </w:tc>
        <w:tc>
          <w:tcPr>
            <w:tcW w:w="12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210380,3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209166,2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Наибольший удельный вес в расходах на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общее образование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приходится на расходы по содержанию общеобразовательных школ 91,4%.       На их содержание в 2015 году было направлено 191160,3 тыс. руб., что на       3285,9 тыс. руб. или 1,6% меньше, чем в 2014 году, что связано с оптимизацией расходов в отрасли «Образование».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В районе на конец года свою деятельность осуществляло 28 школьных учреждения, в которых обучалось 2615 учащихся. В течени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2-х школах приостановлена учебная деятельность (МБОУ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Грязивецкая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СОШ, МБОУ Михновская СОШ). Количество класс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комплектов за год уменьшилось на 8 и на конец года  было 273 класса-комплекта. За год численность учащихся уменьшилась на 61 ребенка.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Расходы в разрезе статей экономической классификации по содержанию общеобразовательных школ представлены в следующе таблице:</w:t>
      </w: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(тыс. руб.) 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993"/>
        <w:gridCol w:w="992"/>
        <w:gridCol w:w="850"/>
        <w:gridCol w:w="851"/>
      </w:tblGrid>
      <w:tr w:rsidR="00ED5758" w:rsidRPr="00ED5758" w:rsidTr="00B20BF0">
        <w:trPr>
          <w:trHeight w:val="472"/>
        </w:trPr>
        <w:tc>
          <w:tcPr>
            <w:tcW w:w="2943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  2015    год</w:t>
            </w:r>
          </w:p>
        </w:tc>
        <w:tc>
          <w:tcPr>
            <w:tcW w:w="1985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D5758" w:rsidRPr="00ED5758" w:rsidTr="00B20BF0">
        <w:trPr>
          <w:trHeight w:val="506"/>
        </w:trPr>
        <w:tc>
          <w:tcPr>
            <w:tcW w:w="2943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118249,9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124018,7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123283,8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61,4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                          «Прочие выплаты»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0,1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rPr>
          <w:trHeight w:val="483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34183,5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32741,9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32445,1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17,7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              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            «Коммунальные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17075,8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15489,4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224                                      « Аренда помещений»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rPr>
          <w:trHeight w:val="643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                          «Услуги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6333,3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4902,5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4852,7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5758" w:rsidRPr="00ED5758" w:rsidTr="00B20BF0">
        <w:trPr>
          <w:trHeight w:val="681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                         «Прочие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3071,5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5891,8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5881,2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                         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7333,1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6109,1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6060,0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5758" w:rsidRPr="00ED5758" w:rsidTr="00B20BF0">
        <w:trPr>
          <w:trHeight w:val="848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                 «Увеличение стоимости основных средств»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1809,4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                  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4127,7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2194,0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2,1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192768,8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192327,5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191160,3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структуре расходов наибольший удельный вес по статьям КОСГУ составили «Расходы на оплату труда с начислениями»  (статьи 211-213) -  81,5%. По сравнению с 2014 годом расходы увеличились на 3284,6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2,2% и составили 155815,5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«Расходы по содержанию имущества» (статьи 221-226)  в расходах по содержанию общеобразовательных школ составляют 14,0%. По сравнению с 2014 годом расходы по этим статьям уменьшились на 182,2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0,7% и составили 26785,5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Расходы по статье 290 «Прочие расходы» профинансированы, по сравнению с 2014 годом на 1273,1 тыс. руб. или 17,4% меньше и составили 6060,0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«Расходы по увеличению стоимости основных средств и материальных запасов» (статьи 310-340) в общем объеме по содержанию общеобразовательных школ составляют 1,3%. По сравнению с 2014 годом расходы уменьшились на 3437,8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57,9% и составили              2499,3тыс.руб.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Детскую юношескую спортивную школу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которую посещают 225 человек, при штатной численности 11 единиц (по сравнению с 2014 годом штатная численность увеличилась на 2 единицы), из них 5 единиц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педработники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в 2014 году на содержание было направлено 2548,7 тыс. руб., что на 253,6 тыс. руб. или на 11,0% больше, чем в 2014 году.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Увеличение расходов в 2015 году связано с увеличением расходов на заработную плату и расходов по содержанию имущества в связи с решением Совета народных депутатов поселка Погар от 20.11.2013 года №2- 181 о  безвозмездной передаче недвижимого имущества Дома спорта.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в разрезе экономических статей характеризуются следующей таблицей: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(тыс. руб.)</w:t>
      </w:r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992"/>
        <w:gridCol w:w="851"/>
        <w:gridCol w:w="850"/>
      </w:tblGrid>
      <w:tr w:rsidR="00ED5758" w:rsidRPr="00ED5758" w:rsidTr="00B20BF0">
        <w:trPr>
          <w:trHeight w:val="416"/>
        </w:trPr>
        <w:tc>
          <w:tcPr>
            <w:tcW w:w="365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3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 2015год</w:t>
            </w: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75"/>
        </w:trPr>
        <w:tc>
          <w:tcPr>
            <w:tcW w:w="365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rPr>
          <w:trHeight w:val="574"/>
        </w:trPr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                      «Заработная плата»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1330,1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ED5758" w:rsidRPr="00ED5758" w:rsidTr="00B20BF0">
        <w:trPr>
          <w:trHeight w:val="554"/>
        </w:trPr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0,4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                «Начисления на оплату труда»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4,2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178,2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D5758" w:rsidRPr="00ED5758" w:rsidTr="00B20BF0">
        <w:trPr>
          <w:trHeight w:val="662"/>
        </w:trPr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«Услуги по содержанию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D5758" w:rsidRPr="00ED5758" w:rsidTr="00B20BF0">
        <w:trPr>
          <w:trHeight w:val="686"/>
        </w:trPr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                             «Увеличение стоимости  основных средств»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24,8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17,7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58,4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D5758" w:rsidRPr="00ED5758" w:rsidTr="00B20BF0">
        <w:tc>
          <w:tcPr>
            <w:tcW w:w="365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2295,1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2565,8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2548,7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Наибольший удельный вес  в структуре расходов  в разрезе статей и подстатей КОСГУ составили « Расходы  на оплату труда с начислениями» подстатьи (211- 213) – 66,8%. По сравнению с 2014 годом расходы по этим статьям увеличились на 183,5 тыс. руб. или на 12,1% и составили                1702,0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« Расходы по содержанию имущества» подстатьи (221- 226) составили 397,2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удельный вес в структуре расходов составляет 15,6%.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Расходы по подстатьям  (310- 340) « Увеличение стоимости основных средств  и материальных запасов» составили 76,1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их удельный вес в структуре расходов составляет 3,0%.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В 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детском Доме творчества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в 2015 году посещало 1246  детей, при штатной численности работающих 22 человека (по сравнению с 2014 годом штатная численность уменьшилась на 3 единицы), действовало 85 групп дополнительного образования. В 2015 году  на его содержание было направлено 4960,5 тыс. руб., что на 506,9 тыс. руб. или 11,4% больше, чем в 2014 году.  Удельный вес расходов по содержанию Дома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творчемтва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структуре расходов подраздела 0702  «Общее образование» составляют 2,4%.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Расходы в разрезе экономических статей представлены в следующей таблице:</w:t>
      </w: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(тыс. руб.)</w:t>
      </w:r>
    </w:p>
    <w:tbl>
      <w:tblPr>
        <w:tblStyle w:val="110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081"/>
        <w:gridCol w:w="1134"/>
        <w:gridCol w:w="1134"/>
        <w:gridCol w:w="1134"/>
        <w:gridCol w:w="992"/>
        <w:gridCol w:w="993"/>
        <w:gridCol w:w="903"/>
      </w:tblGrid>
      <w:tr w:rsidR="00ED5758" w:rsidRPr="00ED5758" w:rsidTr="00B20BF0">
        <w:trPr>
          <w:trHeight w:val="359"/>
          <w:jc w:val="center"/>
        </w:trPr>
        <w:tc>
          <w:tcPr>
            <w:tcW w:w="2660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2013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год.</w:t>
            </w:r>
          </w:p>
        </w:tc>
        <w:tc>
          <w:tcPr>
            <w:tcW w:w="2126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96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59"/>
          <w:jc w:val="center"/>
        </w:trPr>
        <w:tc>
          <w:tcPr>
            <w:tcW w:w="2660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«Заработная плата»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2845,2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3419,1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3419,1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«Начисления на оплату труда»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1010,8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1010,8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       «Коммунальные услуги»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D5758" w:rsidRPr="00ED5758" w:rsidTr="00B20BF0">
        <w:trPr>
          <w:trHeight w:val="836"/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277,3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6,2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D5758" w:rsidRPr="00ED5758" w:rsidTr="00B20BF0">
        <w:trPr>
          <w:jc w:val="center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4453,6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111,4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0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5758" w:rsidRPr="00ED5758" w:rsidRDefault="00ED5758" w:rsidP="00ED575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Наибольший удельный вес в структуре расходов в разрезе статей и подстатей КОСГУ составили « Расходы  на оплату труда с начислениями» подстатьи (211- 213 ) -89,3%. По сравнению с 2014 годом расходы по этим статьям увеличились на 660,8тыс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уб. или на 17,5% и составили 4429,9тыс.руб.</w:t>
      </w:r>
    </w:p>
    <w:p w:rsidR="00ED5758" w:rsidRPr="00ED5758" w:rsidRDefault="00ED5758" w:rsidP="00ED575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« Расходы по содержанию  имущества» подстатьи (221- 226) в структуре расходов составляют 6,6%,  по сравнению с 2014 годом  они уменьшились на 32,7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или на 9,1% и сложились в сумме  326,9 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Расходы по подстатьям (310- 340) «Увеличение стоимости основных средств и материальных запасов» сложились в сумме 194,8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их удельный вес в структуре расходов составляет 3,9%.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Детскую школу иску</w:t>
      </w:r>
      <w:proofErr w:type="gramStart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сств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еднем посещают 223 ребенка.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содержание детской школы искусств в 2015 году было израсходовано 7264,1 тыс. руб., что на 1288,5 тыс. руб. или на 21,5%%  больше, чем в 2014 году. Их удельный вес в структуре расходов подраздела 0702 «Общее образование» составляют 3,5%.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в разрезе экономических статей характеризуются следующей таблицей: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92"/>
        <w:gridCol w:w="992"/>
      </w:tblGrid>
      <w:tr w:rsidR="00ED5758" w:rsidRPr="00ED5758" w:rsidTr="00B20BF0">
        <w:trPr>
          <w:trHeight w:val="371"/>
        </w:trPr>
        <w:tc>
          <w:tcPr>
            <w:tcW w:w="2943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2013 год</w:t>
            </w: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 2015 год.</w:t>
            </w: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75"/>
        </w:trPr>
        <w:tc>
          <w:tcPr>
            <w:tcW w:w="2943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4353,4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5451,9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5451,2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1582,5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                         «Работы по содержанию имущества»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rPr>
          <w:trHeight w:val="561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rPr>
          <w:trHeight w:val="870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rPr>
          <w:trHeight w:val="758"/>
        </w:trPr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5975,6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7293,9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7264,1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Наибольший удельный вес в структуре расходов  детской школы искусств в разрезе  статей и подстатей КОСГУ занимают « Расходы по оплате труда с начислениями» подстатьи (211- 213) – 96,8%. По сравнению с 2014 годом  расходы по этим статьям уменьшились на 1305,6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22,8%  и  составили 7033,7 тыс. руб.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«Расходы по содержанию имущества» подстатьи (221- 226) сложились в сумме 196,3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их удельный вес в структуре расходов ДШИ составляет 2,7%. По сравнению с 2014 годом расходы по этим статьям уменьшились на    38,7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или на 16,5%.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Расходы по подстатьям (310- 340) «Увеличение стоимости основных средств и материальных запасов» сложились в сумме 27,0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 их удельный вес в структуре расходов составляет 0,4%.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 подразделу 0702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отражены следующие расходы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Мероприятия ГП «Предоставление дополнительных мер по поддержке обучающихся»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1446,0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Исполнение плана составило 100,0%, по сравнению с 2014 годом они уменьшились на 242,4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14,4% Денежные средства по этой программе использованы на питание школьников 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Мероприятия по  ГП « Доступная среда»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сумме     1500,0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исполнена на 100,0%. По сравнению с 2014 годом денежные средства  на мероприятия по доступной среде увеличены на 500,0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разделу 0707 «Мероприятия по оздоровлению детей»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По сравнению с 2014 годом, расходы увеличились на 100,5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16,6% и составили  706,9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 исполнен на 100,0%.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раздел 0709 «Другие вопросы в области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образования»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представлены  расходы на содержание  аппарата управления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 психолого- медико- социального сопровождения, централизованной бухгалтерии,  центра материального снабжения, методкабинета  и расходами по предоставлению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льгот по коммунальным платежам за жилье 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педработникам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работающим в сельской местности характеризуются данными следующей таблицы: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800"/>
        <w:gridCol w:w="1136"/>
        <w:gridCol w:w="1275"/>
        <w:gridCol w:w="1134"/>
        <w:gridCol w:w="993"/>
        <w:gridCol w:w="992"/>
        <w:gridCol w:w="992"/>
        <w:gridCol w:w="851"/>
      </w:tblGrid>
      <w:tr w:rsidR="00ED5758" w:rsidRPr="00ED5758" w:rsidTr="00B20BF0">
        <w:trPr>
          <w:trHeight w:val="396"/>
        </w:trPr>
        <w:tc>
          <w:tcPr>
            <w:tcW w:w="2800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в 2014 году.</w:t>
            </w:r>
          </w:p>
        </w:tc>
        <w:tc>
          <w:tcPr>
            <w:tcW w:w="1275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 2015год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348"/>
        </w:trPr>
        <w:tc>
          <w:tcPr>
            <w:tcW w:w="2800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2400,3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2008,4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1330,2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6675,5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5424,9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5423,8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Центр материального снабжения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11346,6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12068,8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11987,5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2103,9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ГП « Одаренные дети»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возмещение расходов  по коммунальным платежам за жилье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12261,4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10654,9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10654,9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РЦП «Кадровая политика в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здравохранении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c>
          <w:tcPr>
            <w:tcW w:w="280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36329,1</w:t>
            </w:r>
          </w:p>
        </w:tc>
        <w:tc>
          <w:tcPr>
            <w:tcW w:w="127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33499,6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33413,0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На подраздел 0709 в 2014 году было направлено средств в сумме   33413,0тыс. руб.,  что  2916,1 тыс. руб. или на 8,0 %  меньше по сравнению с 2014 годом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удельный вес в общих расходах по  разделу «Образование»  составляет 10,9%.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На содержание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аппарата управления образования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2015 году было направлено 2004,2 тыс. руб., что на 395,5 тыс. руб. или на 16,5% меньше, чем в 2014 году.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Расходы по центральному аппарату управления в разрезе экономических статей представлены в следующей таблице:</w:t>
      </w: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(тыс. руб.                       </w:t>
      </w:r>
      <w:proofErr w:type="gramEnd"/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2"/>
        <w:gridCol w:w="993"/>
        <w:gridCol w:w="992"/>
        <w:gridCol w:w="850"/>
      </w:tblGrid>
      <w:tr w:rsidR="00ED5758" w:rsidRPr="00ED5758" w:rsidTr="00B20BF0">
        <w:trPr>
          <w:trHeight w:val="349"/>
        </w:trPr>
        <w:tc>
          <w:tcPr>
            <w:tcW w:w="3085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Утверждено на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11"/>
        </w:trPr>
        <w:tc>
          <w:tcPr>
            <w:tcW w:w="3085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735,9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D5758" w:rsidRPr="00ED5758" w:rsidTr="00B20BF0">
        <w:trPr>
          <w:trHeight w:val="523"/>
        </w:trPr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9,7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D5758" w:rsidRPr="00ED5758" w:rsidTr="00B20BF0">
        <w:trPr>
          <w:trHeight w:val="627"/>
        </w:trPr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                                        « 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D5758" w:rsidRPr="00ED5758" w:rsidTr="00B20BF0">
        <w:trPr>
          <w:trHeight w:val="326"/>
        </w:trPr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2400,3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2008,4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2004,2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Из таблицы следует, что наибольший удельный вес  в структуре управленческих  расходов в разрезе статей и подстатей КОСГУ составили «Расходы  по оплате труда с начислениями» (подстатьи 211- 213) -47,7% . По сравнению с 2014 годом расходы уменьшились на 13,7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1,4%  и составили 955,1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« Расходы по содержанию имущества»  (подстатьи 221- 226) в структуре управленческих  расходов составили – 29,9%.  По сравнению с 2014 годом  они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уменшились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192,9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24,4% и составили             598,5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« Расходы увеличение стоимости основных средств и  материальных запасов» (статьи 310-340) в структуре расходов занимают 7,6%. По сравнению с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2014 годом расходы по этим статье уменьшились на 166,9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 52,2% и  составили 152,6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На финансирование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 психолого-медико-социального сопровождения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2015 году было направлено 1330,2 тыс. руб., что на              421,6 тыс. руб. или 46,4%  больше по сравнению с 2014 годом.  Штатная численность работающих 6 единиц, из них педагогических работника 4 единицы, число групп 6.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Расходы по экономическим статьям представлены в следующей таблице:</w:t>
      </w:r>
    </w:p>
    <w:p w:rsidR="00ED5758" w:rsidRPr="00ED5758" w:rsidRDefault="00ED5758" w:rsidP="00ED5758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134"/>
        <w:gridCol w:w="1134"/>
        <w:gridCol w:w="993"/>
        <w:gridCol w:w="992"/>
        <w:gridCol w:w="992"/>
      </w:tblGrid>
      <w:tr w:rsidR="00ED5758" w:rsidRPr="00ED5758" w:rsidTr="00B20BF0">
        <w:trPr>
          <w:trHeight w:val="554"/>
        </w:trPr>
        <w:tc>
          <w:tcPr>
            <w:tcW w:w="2518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в</w:t>
            </w:r>
            <w:proofErr w:type="gramStart"/>
            <w:r w:rsidRPr="00ED575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в</w:t>
            </w:r>
            <w:proofErr w:type="gramStart"/>
            <w:r w:rsidRPr="00ED5758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ED5758" w:rsidRPr="00ED5758" w:rsidTr="00B20BF0">
        <w:trPr>
          <w:trHeight w:val="459"/>
        </w:trPr>
        <w:tc>
          <w:tcPr>
            <w:tcW w:w="2518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 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1031,6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1031,6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выплаты»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20,4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                «Расходы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2518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908,6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146,4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5758" w:rsidRPr="00ED5758" w:rsidRDefault="00ED5758" w:rsidP="00ED575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Наибольший удельный вес в структуре расходов разрезе статей и подстатей КОСГУ  занимают «Расходы по оплате труда с начислениями»  (подстатьи  211- 213) -  95,2%.  По сравнению с 2014 годом  расходы по фонду оплаты труда увеличились на 449,0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54,9% и составили              1266,9тыс.руб.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«Расходы  по содержанию имущества» ( подстатьи  221- 226) в структуре расходов  ЦПМСС составляют 4,7%. По сравнению с 2014 годом расходы уменьшились на 13,9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18,2% и сложились в сумме 62,6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«Расходы по увеличению стоимости основных средств и материальных запасов» (подстатьи 310-340)  за 2015 год сложились в сумме 0,7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содержание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централизованной бухгалтерии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штатная численность которой составляет 27 единиц в 2015 году, было направлено 5423,8 тыс. руб., что на 1251,8 тыс. руб. или 18,8% меньше уровня 2014 года.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по экономическим статьям характеризуются следующей таблицей: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992"/>
        <w:gridCol w:w="992"/>
        <w:gridCol w:w="992"/>
        <w:gridCol w:w="851"/>
      </w:tblGrid>
      <w:tr w:rsidR="00ED5758" w:rsidRPr="00ED5758" w:rsidTr="00B20BF0">
        <w:trPr>
          <w:trHeight w:val="428"/>
        </w:trPr>
        <w:tc>
          <w:tcPr>
            <w:tcW w:w="3085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3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843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427"/>
        </w:trPr>
        <w:tc>
          <w:tcPr>
            <w:tcW w:w="3085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4523,6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3422,5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3422,5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                            «Прочие выплаты»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1003,7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1003,7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                                        « Транспортные услуги»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                    «Увеличение стоимости основных средств»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6675,6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5424,9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5423,8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Наибольший удельный вес в структуре расходов в разрезе статей и подстатей КОСГУ составили «Расходы на оплату труда с начислениями»  (подстатьи 210-213) -  81,6%. По сравнению с 2014 годом  расходы по этим статьям уменьшились   на 1533,2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25,8% и составил  4428,0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«Расходы по содержанию имущества» (подстатьи 221-226) в структуре расходов ЦБ составляют 16,9%. По сравнению с 2014 годом расходы увеличились на 339,2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составили 915,0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Рост расходов сложился за счет 226 статьи «Прочие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работы,услуги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, по которой отражены вновь образовавшиеся расходы по программному  обеспечению  учета и отчетности  учреждений образования как юридических лиц.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«Расходы по увеличению стоимости основных средств и материальных запасов» (подстатьи 310-340)   в структуре расходов занимают 1,5%. По сравнению с 2014 годом они уменьшились на 44,4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составили  82,4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Финансирование расходов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Центра материально- технического снабжения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сравнению с 2014 годом, увеличилось на 640,9 тыс. руб. или на 5,6%. , и сложилось в сумме 11987,5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Расходы центра материально-технического снабжения характеризуются следующей таблицей:                                 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992"/>
        <w:gridCol w:w="992"/>
        <w:gridCol w:w="993"/>
      </w:tblGrid>
      <w:tr w:rsidR="00ED5758" w:rsidRPr="00ED5758" w:rsidTr="00B20BF0">
        <w:trPr>
          <w:trHeight w:val="444"/>
        </w:trPr>
        <w:tc>
          <w:tcPr>
            <w:tcW w:w="2660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6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985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316"/>
        </w:trPr>
        <w:tc>
          <w:tcPr>
            <w:tcW w:w="2660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rPr>
          <w:trHeight w:val="411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8799,1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9278,4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9278,4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ED5758" w:rsidRPr="00ED5758" w:rsidTr="00B20BF0">
        <w:trPr>
          <w:trHeight w:val="411"/>
        </w:trPr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2540,4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2693,7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2693,7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340 «Увеличение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2660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11346,6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12068,8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11987,5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Как видно из таблицы, наибольший удельный вес в структуре расходов в разрезе статей и подстатей КОСГУ  составили «Расходы по оплате труда с начислениями» (подстатьи 211-213) – 99,9%.  По сравнению  с 2014 годом  фонд оплаты труда  с начислениями увеличился на 633,7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или на 5,5% и сложился в сумме  11972,8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«Расходы по увеличению стоимости основных средств и материальных запасов» подстатьи (310-340) в структуре расходов занимают  0,1%. По сравнению с 2014 годом  они увеличились  на 3,1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или на 62,0% и сложились в сумме 8,1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содержание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методкабинета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штатная численность которого 6 единиц, в 2015 году было направлено 1754,2 тыс. руб., что на 349,7 тыс. руб. или 16,6%  ниже уровня 2013 года. 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по экономическим статьям характеризуются следующей таблицей:</w:t>
      </w:r>
    </w:p>
    <w:p w:rsidR="00ED5758" w:rsidRPr="00ED5758" w:rsidRDefault="00ED5758" w:rsidP="00ED5758">
      <w:pPr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993"/>
        <w:gridCol w:w="992"/>
        <w:gridCol w:w="992"/>
      </w:tblGrid>
      <w:tr w:rsidR="00ED5758" w:rsidRPr="00ED5758" w:rsidTr="00B20BF0">
        <w:trPr>
          <w:trHeight w:val="443"/>
        </w:trPr>
        <w:tc>
          <w:tcPr>
            <w:tcW w:w="2376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Утверждено на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ED5758">
              <w:rPr>
                <w:rFonts w:ascii="Times New Roman" w:hAnsi="Times New Roman" w:cs="Times New Roman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D5758" w:rsidRPr="00ED5758" w:rsidTr="00B20BF0">
        <w:trPr>
          <w:trHeight w:val="301"/>
        </w:trPr>
        <w:tc>
          <w:tcPr>
            <w:tcW w:w="2376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плану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 факту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         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1462,6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        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                 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D5758" w:rsidRPr="00ED5758" w:rsidTr="00B20BF0">
        <w:trPr>
          <w:trHeight w:val="551"/>
        </w:trPr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                 «Прочие работы,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</w:tr>
      <w:tr w:rsidR="00ED5758" w:rsidRPr="00ED5758" w:rsidTr="00B20BF0">
        <w:tc>
          <w:tcPr>
            <w:tcW w:w="2376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2103,9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Наибольший удельный вес в структуре расходов 92,1% занимают «Расходы на оплату труда и начислениями»  подстатьи (211-213).  По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сравнению с 2014 годом  расходы уменьшились на 294,1 тыс. руб. или на 15,4% и  сложились в сумме 1614,8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«Расходы по содержанию имущества» (подстатьи 221-226)  в структуре расходов составили 6,8%. По сравнению с 2014 годом они увеличились на    38,5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или на 48,2% и сложились в сумме 118,4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Расходы по  статье - 340 произведены в  сумме 9,5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,что в 12 раз  меньше расходов по этой статье произведенных в 2014 году.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Расходы по РП «Развитие образования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района» представлены расходами по следующим мероприятиям: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мероприятия по поддержке одаренных детей и молодежи  в сумме              83,7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мероприятия временного трудоустройства несовершеннолетних граждан в возрасте от 14 до 18 лет 72,4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На предоставление мер  социальной поддержки работникам общеобразовательных организаций, работающим в сельских населенных пунктах 2015 году было направлено 10654,9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что 1606,5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или на 13,1% меньше чем в 2014 году.</w:t>
      </w:r>
    </w:p>
    <w:p w:rsidR="00ED5758" w:rsidRPr="00ED5758" w:rsidRDefault="00ED5758" w:rsidP="00ED5758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По разделу 0709 «Образование» представлены расходы на реализацию мероприятий в сфере кадровой политики здравоохранения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 в сумме 102,1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tabs>
          <w:tab w:val="left" w:pos="919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D5758" w:rsidRPr="00ED5758" w:rsidRDefault="00ED5758" w:rsidP="00ED5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</w:t>
      </w:r>
      <w:r w:rsidRPr="00ED5758">
        <w:rPr>
          <w:rFonts w:ascii="Times New Roman" w:hAnsi="Times New Roman" w:cs="Times New Roman"/>
          <w:sz w:val="28"/>
          <w:szCs w:val="28"/>
        </w:rPr>
        <w:t xml:space="preserve"> расходы составили    25136,1 тыс. руб. Основные расходы этой отрасли представлены расходами по содержанию МБУ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районный Дом культуры» с филиалами в сумме 15180,2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., расходами по содержанию МБУ «Централизованная библиотечная система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района» в сумме 7954,0 тыс. руб., музея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Радогощ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» в сумме 1 063,5 тыс. руб., исполнением мероприятий по РЦП «Развитие культуры и сохранение культурного наследия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района» в сумме 351,2 тыс. руб., исполнением мероприятий  по РЦП «Молодёжь» в сумме 50,0 тыс. руб., реализацией мероприятий ГП «Развитие  культуры и  туризма Брянской области(2012-2018 годы)» в сумме 49,2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., подключение общедоступных библиотек РФ к сети Интернет и развитие системы библиотечного дела в сумме 104,5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руб., предоставление мер социальной поддержки по оплате жилья и коммунальных услуг гражданам, работающим в сельских учреждениях культуры 103,0 </w:t>
      </w:r>
      <w:proofErr w:type="spellStart"/>
      <w:proofErr w:type="gram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ED5758">
        <w:rPr>
          <w:rFonts w:ascii="Times New Roman" w:hAnsi="Times New Roman" w:cs="Times New Roman"/>
          <w:sz w:val="28"/>
          <w:szCs w:val="28"/>
        </w:rPr>
        <w:t xml:space="preserve"> руб., из резервного фонда </w:t>
      </w:r>
      <w:r w:rsidRPr="00ED575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сельским учреждениям культуры были выделены средства на чествование ветеранов ВОВ в сумме 253,0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>.   Удельный вес расходов по культуре в общем объёме расходов составляет 5,4%.</w:t>
      </w:r>
    </w:p>
    <w:p w:rsidR="00ED5758" w:rsidRPr="00ED5758" w:rsidRDefault="00ED5758" w:rsidP="00ED5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 xml:space="preserve"> Расходы в разрезе статей и подстатей КОСГУ по содержанию музея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Радогощ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>»  представлены в следующей таблице:</w:t>
      </w:r>
    </w:p>
    <w:p w:rsidR="00ED5758" w:rsidRPr="00ED5758" w:rsidRDefault="00ED5758" w:rsidP="00ED5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ED5758" w:rsidRPr="00ED5758" w:rsidTr="00B20BF0">
        <w:trPr>
          <w:trHeight w:val="583"/>
        </w:trPr>
        <w:tc>
          <w:tcPr>
            <w:tcW w:w="2943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Структура (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ED5758" w:rsidRPr="00ED5758" w:rsidTr="00B20BF0">
        <w:trPr>
          <w:trHeight w:val="237"/>
        </w:trPr>
        <w:tc>
          <w:tcPr>
            <w:tcW w:w="2943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 плану 2015 года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факт 2014 года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222 «Транспортные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1 219,0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1108,9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1063,5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58">
        <w:rPr>
          <w:rFonts w:ascii="Times New Roman" w:hAnsi="Times New Roman" w:cs="Times New Roman"/>
          <w:sz w:val="28"/>
          <w:szCs w:val="28"/>
        </w:rPr>
        <w:t>Наибольший  удельный вес в структуре расходов  по обеспечению деятельности музея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Радогощ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>»  в разрезе статей и подстатей КОСГУ составили статьи 211-213 «Расходы по оплате труда с начислениями»  – 57,8%. Статьи 221-226 « Расходы по содержанию имущества»  в общем объеме расходов  составили  35,8%. На статьи  (310-340) «Увеличение стоимости основных средств и материальных запасов» в структуре расходов приходится  4,9%.</w:t>
      </w:r>
      <w:proofErr w:type="gramEnd"/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lastRenderedPageBreak/>
        <w:t xml:space="preserve">Расходы в разрезе статей и подстатей КОСГУ по содержанию МБУ «Централизованная библиотечная система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района» представлены в следующей таблице:</w:t>
      </w:r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.)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2"/>
        <w:gridCol w:w="1850"/>
        <w:gridCol w:w="1671"/>
        <w:gridCol w:w="1623"/>
        <w:gridCol w:w="1520"/>
      </w:tblGrid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расходов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211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5735,9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5610,0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212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213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начис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оплату труда»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1716,8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1583,2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221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222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223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           224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«аренда имущества»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225 «услуги по </w:t>
            </w: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«прочие услуги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290»прочие расходы»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ат запасов»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80,3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5758" w:rsidRPr="00ED5758" w:rsidTr="00B20BF0">
        <w:trPr>
          <w:trHeight w:val="309"/>
        </w:trPr>
        <w:tc>
          <w:tcPr>
            <w:tcW w:w="294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8318,3</w:t>
            </w:r>
          </w:p>
        </w:tc>
        <w:tc>
          <w:tcPr>
            <w:tcW w:w="167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7954,0</w:t>
            </w:r>
          </w:p>
        </w:tc>
        <w:tc>
          <w:tcPr>
            <w:tcW w:w="162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52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58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по обеспечению деятельности МБУ «Централизованная библиотечная система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района» в разрезе статей и подстатей КОСГУ составили расходы по статьям 211-213 «Расходы по оплате труда с начислениями» -90,4%. Расходы по статьям 221-226 «Расходы по содержанию имущества» в общем объеме расходов составили – 8,5%. На статьи 310-340 «Увеличение стоимости основных средств и материальных запасов» в структуре расходов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 xml:space="preserve"> приходится 0,4%.</w:t>
      </w:r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>Расходы в разрезе статей и подстатей КОСГУ по содержанию МБУ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районный Дом культуры» представлены в следующей таблице: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559"/>
        <w:gridCol w:w="1665"/>
      </w:tblGrid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 год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расходов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 «оплата труда»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9475,2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9276,8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2621,3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 «услуги связи»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 «коммунальные услуги»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2247,9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2247,9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 «прочие расходы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5758" w:rsidRPr="00ED5758" w:rsidTr="00B20BF0">
        <w:tc>
          <w:tcPr>
            <w:tcW w:w="308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843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15591,0</w:t>
            </w:r>
          </w:p>
        </w:tc>
        <w:tc>
          <w:tcPr>
            <w:tcW w:w="1701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15180,2</w:t>
            </w:r>
          </w:p>
        </w:tc>
        <w:tc>
          <w:tcPr>
            <w:tcW w:w="155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665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758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по обеспечению деятельности МБУ «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районный Дом культуры» в разрезе статей и подстатей КОСГУ составили расходы по статьям 211-213 «Расходы по оплате труда с начислениями» - 78,4%. Расходы по статьям 221-226 «Расходы по содержанию имущества» в общем объеме расходов составили 17,7%. На статьи 310-340 «Увеличение стоимости основных средств и материальных запасов» в структуре расходов приходится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 xml:space="preserve"> 2,7%.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Расходы раздела 10 «Социальная политика»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2015 году составили 21986,1 тыс. руб.,  к уровню 2014 года они уменьшились на 2745,4тыс. руб. или на 11,1%.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Динамика расходов по социальной политике видна из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Объём расходов по отрасли «Социальная политика»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ст к пр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едыдущему году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(в %).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объёме расходов  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10 357,0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12 035,0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12 711,0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14 397,0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18563,5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23861,6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ED5758" w:rsidRPr="00ED5758" w:rsidTr="00B20BF0">
        <w:tc>
          <w:tcPr>
            <w:tcW w:w="2392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2393" w:type="dxa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1EE94" wp14:editId="146AABEA">
            <wp:extent cx="5916058" cy="3062689"/>
            <wp:effectExtent l="0" t="0" r="27940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Несмотря на то, что темп роста расходов по социальной политике из года в год растёт, их удельный вес в общем объёме расходов за последние четыре года стабилен и составляет от 3,6% до 5,9%.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Социальные расходы представлены следующими расходами:</w:t>
      </w:r>
    </w:p>
    <w:p w:rsidR="00ED5758" w:rsidRPr="00ED5758" w:rsidRDefault="00ED5758" w:rsidP="00ED5758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подразделу 1001 «Пенсионное обеспечение»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расходы на выплату доплат к пенсии муниципальных служащих составили 4743,3 тыс. руб., количество пенсионеров  на 1 января 2016 года 53 человека.                                          </w:t>
      </w:r>
    </w:p>
    <w:p w:rsidR="00ED5758" w:rsidRPr="00ED5758" w:rsidRDefault="00ED5758" w:rsidP="00ED57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подразделу 1003 «Социальное обеспечение населения»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составили 2103,7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 них: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средства резервного фонда администрации района для оказания помощи гражданам,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расходовании средств резервного фонда в сумме 885,2 тыс. руб.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-средства на осуществление сохранности жилых                                           помещений, закреплённых за детьми-сиротами и детьми, оставшихся без попечения родителей в сумме 147,0 тыс. руб. при плане 147,0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средства по ДЦП «Жилище» по программе «Обеспечение жильём молодых семей» из федерального и областного бюджета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выделено 2585,9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освоено 797,5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, из  районного бюджета было выделено 145,0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освоено   145,0 тыс. руб.;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средства по оказанию помощи общественным организациям в сумме      129,0 тыс. руб. при плане 140,0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подразделу 1004 «Охрана семьи и детства»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произведены расходы в сумме 14503,1тыс. руб.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выплату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образования было направлено 2835,2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исполнение плана составило 100,0%;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 выплаты  на содержание ребенка в семье опекуна и на выплаты приемной семье за социальное обслуживание детей было направлено 6579,7 </w:t>
      </w:r>
      <w:proofErr w:type="spellStart"/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руб., исполнение плана составило  97,2%.;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выплаты единовременных пособий при всех формах устройства детей, лишённых родительского попечения, в семью было направлено                 27,5 тыс. руб., исполнение плана составило 66,5%.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 обеспечение жилыми помещениями дете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й-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сирот, а также детей находящихся под опекой было направлено 5060,7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руб., исполнение плана составило 100,0%.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подразделу 1006 «Другие вопросы в области социальной политике»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произведены расходы в сумме 635,9 тыс. руб.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по содержанию отдела, занимающегося профилактикой безнадзорности и правонарушений несовершеннолетними, составили      611,9,0 тыс. руб.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мероприятия по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профилактике безнадзорности и правонарушений было</w:t>
      </w: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израсходовано  15,0тыс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уб.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мероприятия по поддержке детей-сирот  было направлено 9,0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b/>
          <w:sz w:val="28"/>
          <w:szCs w:val="28"/>
        </w:rPr>
        <w:t>По разделу 11 «Физическая культура и спорт»,</w:t>
      </w:r>
      <w:r w:rsidRPr="00ED5758">
        <w:rPr>
          <w:rFonts w:ascii="Times New Roman" w:hAnsi="Times New Roman" w:cs="Times New Roman"/>
          <w:sz w:val="28"/>
          <w:szCs w:val="28"/>
        </w:rPr>
        <w:t xml:space="preserve"> расходы произведены в сумме 8 216,6 тыс. руб., исполнение плана составило 98,9%. Расходы по этому разделу представлены РЦП «Развитие физической культуры и спорта в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Погарском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районе» в сумме 259,3 тыс. руб., исполнение плана составило 100,0% . На содержание МАУ СЦ «Одиссей» в 2015 году направлено       7 957,3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. при плане 7 957,3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 xml:space="preserve"> руб., исполнение плана составляет 100,0%. Предусмотренные в районном бюджете ассигнования за счет средств </w:t>
      </w:r>
      <w:r w:rsidRPr="00ED5758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 на отдельные мероприятия  по развитию спорта в сумме 95,0 </w:t>
      </w:r>
      <w:proofErr w:type="spellStart"/>
      <w:r w:rsidRPr="00ED57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57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57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5758">
        <w:rPr>
          <w:rFonts w:ascii="Times New Roman" w:hAnsi="Times New Roman" w:cs="Times New Roman"/>
          <w:sz w:val="28"/>
          <w:szCs w:val="28"/>
        </w:rPr>
        <w:t>. не поступили.</w:t>
      </w:r>
    </w:p>
    <w:p w:rsidR="00ED5758" w:rsidRPr="00ED5758" w:rsidRDefault="00ED5758" w:rsidP="00ED5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>Расходы в разрезе статей и подстатей КОСГУ МАУ СЦ «Одиссей» сложились следующим образом:</w:t>
      </w: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ED5758" w:rsidRPr="00ED5758" w:rsidTr="00B20BF0">
        <w:trPr>
          <w:trHeight w:val="583"/>
        </w:trPr>
        <w:tc>
          <w:tcPr>
            <w:tcW w:w="2943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Структура (</w:t>
            </w: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ED5758" w:rsidRPr="00ED5758" w:rsidTr="00B20BF0">
        <w:trPr>
          <w:trHeight w:val="237"/>
        </w:trPr>
        <w:tc>
          <w:tcPr>
            <w:tcW w:w="2943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 плану 2015 года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факт 2014 года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4621,9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4920,6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4920,6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994,8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1 963,9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D5758" w:rsidRPr="00ED5758" w:rsidTr="00B20BF0">
        <w:tc>
          <w:tcPr>
            <w:tcW w:w="294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7771,3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7957,3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7957,3</w:t>
            </w:r>
          </w:p>
        </w:tc>
        <w:tc>
          <w:tcPr>
            <w:tcW w:w="1134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D5758" w:rsidRPr="00ED5758" w:rsidRDefault="00ED5758" w:rsidP="00ED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758" w:rsidRPr="00ED5758" w:rsidRDefault="00ED5758" w:rsidP="00ED5758">
      <w:pPr>
        <w:jc w:val="both"/>
        <w:rPr>
          <w:rFonts w:ascii="Times New Roman" w:hAnsi="Times New Roman" w:cs="Times New Roman"/>
          <w:sz w:val="28"/>
          <w:szCs w:val="28"/>
        </w:rPr>
      </w:pPr>
      <w:r w:rsidRPr="00ED5758">
        <w:rPr>
          <w:rFonts w:ascii="Times New Roman" w:hAnsi="Times New Roman" w:cs="Times New Roman"/>
          <w:sz w:val="28"/>
          <w:szCs w:val="28"/>
        </w:rPr>
        <w:t>Наибольшую долю в структуре расходов учреждения в разрезе статей занимают расходы на  заработную плату (подстатьи 211-213) – 74,3% или 5 915,4 тыс. рублей. Статьи 221-226 «Услуги по содержанию имущества» в общем объеме расходов  составляют 23,7%.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01.01.2016 года муниципальный долг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равен нулю.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Кредиторская задолженность  за 2015 год увеличилась на 14204,4тыс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уб.  и на 01.01.2016 года составила 40851,0тыс.руб. Изменение кредиторской задолженности за 2015 год представлено в следующей таблице: 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706"/>
        <w:gridCol w:w="2409"/>
        <w:gridCol w:w="2552"/>
        <w:gridCol w:w="2090"/>
      </w:tblGrid>
      <w:tr w:rsidR="00ED5758" w:rsidRPr="00ED5758" w:rsidTr="00B20BF0">
        <w:trPr>
          <w:trHeight w:val="793"/>
        </w:trPr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 01.01.2015 год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Кредиторская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на 01.01.2016 года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Уменьшение(-)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Увеличение(+)</w:t>
            </w:r>
          </w:p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220800000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-99,7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420800000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+154,3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430200000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16345,3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21284,9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+4939,6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430300000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8481,5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19157,2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+10675,7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430400000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+113,8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530200000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1599,0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- 1579,3</w:t>
            </w:r>
          </w:p>
        </w:tc>
      </w:tr>
      <w:tr w:rsidR="00ED5758" w:rsidRPr="00ED5758" w:rsidTr="00B20BF0">
        <w:tc>
          <w:tcPr>
            <w:tcW w:w="109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26646,6</w:t>
            </w:r>
          </w:p>
        </w:tc>
        <w:tc>
          <w:tcPr>
            <w:tcW w:w="2552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40851,0</w:t>
            </w:r>
          </w:p>
        </w:tc>
        <w:tc>
          <w:tcPr>
            <w:tcW w:w="2090" w:type="dxa"/>
          </w:tcPr>
          <w:p w:rsidR="00ED5758" w:rsidRPr="00ED5758" w:rsidRDefault="00ED5758" w:rsidP="00ED5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58">
              <w:rPr>
                <w:rFonts w:ascii="Times New Roman" w:hAnsi="Times New Roman" w:cs="Times New Roman"/>
                <w:sz w:val="28"/>
                <w:szCs w:val="28"/>
              </w:rPr>
              <w:t>+14204,4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Исходя  из фактического исполнения районного бюджета 2015 года, администрацией нарушен пункт 3 статьи 219 Бюджетного кодекса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РФ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кредиторская задолженность является несанкционированной кредиторской задолженностью.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Целевое расходование средств резервного фонда администрации района за 2015 год проведено отдельным контрольным мероприятием. Денежные средства резервного фонда выделялись с нарушением  статьи 136 пункта 3 Бюджетного кодекса РФ.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районного Совета народных депутатов от 26.12.2014 года №5-35 «О бюджете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2015 год и на плановый период 2016 и 2017 годов», бюджет был утверждён бездефицитным. В течение года,  бюджет уточнялся, был изменён и утверждён  с дефицитом в сумме       5102,9 тыс. руб. решением районного Совета народных депутатов от 28.12.2015 года №5-111.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планов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утверждённом показателе дефицита бюджета в объёме 5102,9 тыс. руб., фактически бюджет за 2015 год исполнен с профицитом в сумме 5160,1 тыс. руб.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расходов бюджета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2015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2015 год и на плановый период 2016 и 2017 годов». </w:t>
      </w:r>
    </w:p>
    <w:p w:rsidR="00ED5758" w:rsidRPr="00ED5758" w:rsidRDefault="000B288F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ED5758"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исполнении расходов за 2015 год по ведомственной    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( тыс. руб.)</w:t>
      </w:r>
    </w:p>
    <w:tbl>
      <w:tblPr>
        <w:tblStyle w:val="a3"/>
        <w:tblW w:w="4816" w:type="pct"/>
        <w:jc w:val="center"/>
        <w:tblInd w:w="-1432" w:type="dxa"/>
        <w:tblLayout w:type="fixed"/>
        <w:tblLook w:val="04A0" w:firstRow="1" w:lastRow="0" w:firstColumn="1" w:lastColumn="0" w:noHBand="0" w:noVBand="1"/>
      </w:tblPr>
      <w:tblGrid>
        <w:gridCol w:w="2988"/>
        <w:gridCol w:w="1052"/>
        <w:gridCol w:w="1134"/>
        <w:gridCol w:w="1131"/>
        <w:gridCol w:w="1277"/>
        <w:gridCol w:w="991"/>
        <w:gridCol w:w="917"/>
      </w:tblGrid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Первоначально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Утверждённый бюджет на 2015год 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Уточнённый бюджет на 2015  год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% Исполнения плана 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%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Исполнения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года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2014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году</w:t>
            </w:r>
          </w:p>
        </w:tc>
      </w:tr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575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</w:rPr>
              <w:t xml:space="preserve"> </w:t>
            </w:r>
            <w:r w:rsidRPr="00ED575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64833,4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86599,3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87970,0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83717,9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95,1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lastRenderedPageBreak/>
              <w:t>129,1</w:t>
            </w:r>
          </w:p>
        </w:tc>
      </w:tr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58">
              <w:rPr>
                <w:rFonts w:ascii="Times New Roman" w:hAnsi="Times New Roman" w:cs="Times New Roman"/>
              </w:rPr>
              <w:lastRenderedPageBreak/>
              <w:t>Погарский</w:t>
            </w:r>
            <w:proofErr w:type="spellEnd"/>
            <w:r w:rsidRPr="00ED5758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943,8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950,0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1121,2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1118,2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124,6</w:t>
            </w:r>
          </w:p>
        </w:tc>
      </w:tr>
      <w:tr w:rsidR="00ED5758" w:rsidRPr="00ED5758" w:rsidTr="00B20BF0">
        <w:trPr>
          <w:trHeight w:val="884"/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ED575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312774,3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290171,6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312242,3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309587,0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99,0</w:t>
            </w:r>
          </w:p>
        </w:tc>
      </w:tr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2002,7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2074,5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2073,7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103,5</w:t>
            </w:r>
          </w:p>
        </w:tc>
      </w:tr>
      <w:tr w:rsidR="00ED5758" w:rsidRPr="00ED5758" w:rsidTr="00B20BF0">
        <w:trPr>
          <w:trHeight w:val="618"/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ED575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37506,5</w:t>
            </w: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30075,4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65617,0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65580,4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174,5</w:t>
            </w:r>
          </w:p>
        </w:tc>
      </w:tr>
      <w:tr w:rsidR="00ED5758" w:rsidRPr="00ED5758" w:rsidTr="00B20BF0">
        <w:trPr>
          <w:trHeight w:val="928"/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Контрольн</w:t>
            </w:r>
            <w:proofErr w:type="gramStart"/>
            <w:r w:rsidRPr="00ED5758">
              <w:rPr>
                <w:rFonts w:ascii="Times New Roman" w:hAnsi="Times New Roman" w:cs="Times New Roman"/>
              </w:rPr>
              <w:t>о-</w:t>
            </w:r>
            <w:proofErr w:type="gramEnd"/>
            <w:r w:rsidRPr="00ED5758">
              <w:rPr>
                <w:rFonts w:ascii="Times New Roman" w:hAnsi="Times New Roman" w:cs="Times New Roman"/>
              </w:rPr>
              <w:t xml:space="preserve"> счетная палата </w:t>
            </w:r>
            <w:proofErr w:type="spellStart"/>
            <w:r w:rsidRPr="00ED575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ED5758">
              <w:rPr>
                <w:rFonts w:ascii="Times New Roman" w:hAnsi="Times New Roman" w:cs="Times New Roman"/>
              </w:rPr>
              <w:t xml:space="preserve"> района</w:t>
            </w: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995,5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932,7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93,2</w:t>
            </w:r>
          </w:p>
        </w:tc>
      </w:tr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Единая дежурная диспетчерская служба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1159,7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</w:p>
          <w:p w:rsidR="00ED5758" w:rsidRPr="00ED5758" w:rsidRDefault="00ED5758" w:rsidP="00ED5758">
            <w:pPr>
              <w:rPr>
                <w:rFonts w:ascii="Times New Roman" w:hAnsi="Times New Roman" w:cs="Times New Roman"/>
              </w:rPr>
            </w:pPr>
            <w:r w:rsidRPr="00ED5758">
              <w:rPr>
                <w:rFonts w:ascii="Times New Roman" w:hAnsi="Times New Roman" w:cs="Times New Roman"/>
              </w:rPr>
              <w:t>-</w:t>
            </w:r>
          </w:p>
        </w:tc>
      </w:tr>
      <w:tr w:rsidR="00ED5758" w:rsidRPr="00ED5758" w:rsidTr="00B20BF0">
        <w:trPr>
          <w:jc w:val="center"/>
        </w:trPr>
        <w:tc>
          <w:tcPr>
            <w:tcW w:w="157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54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420215,9</w:t>
            </w:r>
          </w:p>
        </w:tc>
        <w:tc>
          <w:tcPr>
            <w:tcW w:w="597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411020,3</w:t>
            </w:r>
          </w:p>
        </w:tc>
        <w:tc>
          <w:tcPr>
            <w:tcW w:w="596" w:type="pct"/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469957,8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463004,6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5758" w:rsidRPr="00ED5758" w:rsidRDefault="00ED5758" w:rsidP="00ED5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758">
              <w:rPr>
                <w:rFonts w:ascii="Times New Roman" w:hAnsi="Times New Roman" w:cs="Times New Roman"/>
                <w:b/>
              </w:rPr>
              <w:t>97,9</w:t>
            </w:r>
          </w:p>
        </w:tc>
      </w:tr>
    </w:tbl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Информация, представленная в настоящем заключении об исполнении бюджета </w:t>
      </w:r>
      <w:proofErr w:type="spell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за 2015 год в разрезе ведомственной структуры расходов бюджета района, изложена на основании внешней </w:t>
      </w:r>
      <w:proofErr w:type="gramStart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отчётности  главных  распорядителей средств  районного  бюджета</w:t>
      </w:r>
      <w:proofErr w:type="gramEnd"/>
      <w:r w:rsidRPr="00ED5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758" w:rsidRPr="00ED5758" w:rsidRDefault="00ED5758" w:rsidP="002F735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D5758" w:rsidRPr="00ED5758" w:rsidRDefault="00ED5758" w:rsidP="00ED575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                                                     К.М. </w:t>
      </w:r>
      <w:proofErr w:type="spellStart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Рылатко</w:t>
      </w:r>
      <w:proofErr w:type="spellEnd"/>
    </w:p>
    <w:p w:rsidR="00ED5758" w:rsidRPr="00ED5758" w:rsidRDefault="00ED5758" w:rsidP="00ED5758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ED57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86605" w:rsidRDefault="00286605">
      <w:bookmarkStart w:id="0" w:name="_GoBack"/>
      <w:bookmarkEnd w:id="0"/>
    </w:p>
    <w:sectPr w:rsidR="00286605" w:rsidSect="00B20BF0">
      <w:headerReference w:type="default" r:id="rId2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4" w:rsidRDefault="00D53CE4">
      <w:pPr>
        <w:spacing w:after="0" w:line="240" w:lineRule="auto"/>
      </w:pPr>
      <w:r>
        <w:separator/>
      </w:r>
    </w:p>
  </w:endnote>
  <w:endnote w:type="continuationSeparator" w:id="0">
    <w:p w:rsidR="00D53CE4" w:rsidRDefault="00D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4" w:rsidRDefault="00D53CE4">
      <w:pPr>
        <w:spacing w:after="0" w:line="240" w:lineRule="auto"/>
      </w:pPr>
      <w:r>
        <w:separator/>
      </w:r>
    </w:p>
  </w:footnote>
  <w:footnote w:type="continuationSeparator" w:id="0">
    <w:p w:rsidR="00D53CE4" w:rsidRDefault="00D5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51317"/>
      <w:docPartObj>
        <w:docPartGallery w:val="Page Numbers (Top of Page)"/>
        <w:docPartUnique/>
      </w:docPartObj>
    </w:sdtPr>
    <w:sdtContent>
      <w:p w:rsidR="00BC039A" w:rsidRDefault="00BC03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5B">
          <w:rPr>
            <w:noProof/>
          </w:rPr>
          <w:t>63</w:t>
        </w:r>
        <w:r>
          <w:fldChar w:fldCharType="end"/>
        </w:r>
      </w:p>
    </w:sdtContent>
  </w:sdt>
  <w:p w:rsidR="00BC039A" w:rsidRDefault="00BC03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9B"/>
    <w:multiLevelType w:val="multilevel"/>
    <w:tmpl w:val="1EC85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BE300C7"/>
    <w:multiLevelType w:val="multilevel"/>
    <w:tmpl w:val="0DB053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23BE5EAE"/>
    <w:multiLevelType w:val="hybridMultilevel"/>
    <w:tmpl w:val="2B38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408C"/>
    <w:multiLevelType w:val="hybridMultilevel"/>
    <w:tmpl w:val="7FA41D66"/>
    <w:lvl w:ilvl="0" w:tplc="F81269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>
    <w:nsid w:val="53B22AA1"/>
    <w:multiLevelType w:val="hybridMultilevel"/>
    <w:tmpl w:val="5F469906"/>
    <w:lvl w:ilvl="0" w:tplc="2E549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955B25"/>
    <w:multiLevelType w:val="hybridMultilevel"/>
    <w:tmpl w:val="9FDC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F7BD6"/>
    <w:multiLevelType w:val="hybridMultilevel"/>
    <w:tmpl w:val="D786A754"/>
    <w:lvl w:ilvl="0" w:tplc="A142C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9DF644D"/>
    <w:multiLevelType w:val="hybridMultilevel"/>
    <w:tmpl w:val="099AB6AC"/>
    <w:lvl w:ilvl="0" w:tplc="6BC4D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E95141"/>
    <w:multiLevelType w:val="multilevel"/>
    <w:tmpl w:val="E4264A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b w:val="0"/>
      </w:rPr>
    </w:lvl>
  </w:abstractNum>
  <w:abstractNum w:abstractNumId="10">
    <w:nsid w:val="7DFC1276"/>
    <w:multiLevelType w:val="multilevel"/>
    <w:tmpl w:val="B5E822A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8"/>
    <w:rsid w:val="000756C0"/>
    <w:rsid w:val="000A7CDC"/>
    <w:rsid w:val="000B288F"/>
    <w:rsid w:val="000B3EA7"/>
    <w:rsid w:val="000B7192"/>
    <w:rsid w:val="00101F5D"/>
    <w:rsid w:val="00115A0D"/>
    <w:rsid w:val="00132B8E"/>
    <w:rsid w:val="00181240"/>
    <w:rsid w:val="001F1ADC"/>
    <w:rsid w:val="00211E79"/>
    <w:rsid w:val="00215518"/>
    <w:rsid w:val="00222FBA"/>
    <w:rsid w:val="00286605"/>
    <w:rsid w:val="002B3AF8"/>
    <w:rsid w:val="002C77E6"/>
    <w:rsid w:val="002F735B"/>
    <w:rsid w:val="00316A6B"/>
    <w:rsid w:val="003173D3"/>
    <w:rsid w:val="0035021F"/>
    <w:rsid w:val="003B085B"/>
    <w:rsid w:val="003E2FCE"/>
    <w:rsid w:val="00411DAD"/>
    <w:rsid w:val="00477E83"/>
    <w:rsid w:val="00486BE4"/>
    <w:rsid w:val="005342E6"/>
    <w:rsid w:val="0053620D"/>
    <w:rsid w:val="0056259F"/>
    <w:rsid w:val="00592DB8"/>
    <w:rsid w:val="00612ECE"/>
    <w:rsid w:val="006427B6"/>
    <w:rsid w:val="0065054C"/>
    <w:rsid w:val="006530B1"/>
    <w:rsid w:val="00670DA9"/>
    <w:rsid w:val="006716F1"/>
    <w:rsid w:val="006A4D5F"/>
    <w:rsid w:val="006E0732"/>
    <w:rsid w:val="006F0B26"/>
    <w:rsid w:val="00721172"/>
    <w:rsid w:val="007212FA"/>
    <w:rsid w:val="00747487"/>
    <w:rsid w:val="007B0CB9"/>
    <w:rsid w:val="007D73FC"/>
    <w:rsid w:val="00821CC4"/>
    <w:rsid w:val="008F158C"/>
    <w:rsid w:val="00973C93"/>
    <w:rsid w:val="00977F87"/>
    <w:rsid w:val="00983E31"/>
    <w:rsid w:val="00A65DB2"/>
    <w:rsid w:val="00AA4C1B"/>
    <w:rsid w:val="00AF59CD"/>
    <w:rsid w:val="00AF796E"/>
    <w:rsid w:val="00B00D76"/>
    <w:rsid w:val="00B15B62"/>
    <w:rsid w:val="00B20BF0"/>
    <w:rsid w:val="00BC039A"/>
    <w:rsid w:val="00BD44A0"/>
    <w:rsid w:val="00BD482A"/>
    <w:rsid w:val="00BE52B5"/>
    <w:rsid w:val="00C4549E"/>
    <w:rsid w:val="00C54094"/>
    <w:rsid w:val="00C7016C"/>
    <w:rsid w:val="00C845D2"/>
    <w:rsid w:val="00C913EC"/>
    <w:rsid w:val="00CD48F6"/>
    <w:rsid w:val="00CF0486"/>
    <w:rsid w:val="00D53CE4"/>
    <w:rsid w:val="00D80908"/>
    <w:rsid w:val="00D973AC"/>
    <w:rsid w:val="00E93618"/>
    <w:rsid w:val="00EC74F1"/>
    <w:rsid w:val="00ED524A"/>
    <w:rsid w:val="00ED5758"/>
    <w:rsid w:val="00EF69A6"/>
    <w:rsid w:val="00F02800"/>
    <w:rsid w:val="00F264CF"/>
    <w:rsid w:val="00F96CBF"/>
    <w:rsid w:val="00FB29F3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758"/>
  </w:style>
  <w:style w:type="table" w:styleId="a3">
    <w:name w:val="Table Grid"/>
    <w:basedOn w:val="a1"/>
    <w:uiPriority w:val="59"/>
    <w:rsid w:val="00ED5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ED57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ED57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7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7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D57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D575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D5758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D5758"/>
  </w:style>
  <w:style w:type="numbering" w:customStyle="1" w:styleId="111">
    <w:name w:val="Нет списка111"/>
    <w:next w:val="a2"/>
    <w:uiPriority w:val="99"/>
    <w:semiHidden/>
    <w:unhideWhenUsed/>
    <w:rsid w:val="00ED5758"/>
  </w:style>
  <w:style w:type="table" w:customStyle="1" w:styleId="10">
    <w:name w:val="Сетка таблицы1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D5758"/>
  </w:style>
  <w:style w:type="table" w:customStyle="1" w:styleId="110">
    <w:name w:val="Сетка таблицы11"/>
    <w:basedOn w:val="a1"/>
    <w:next w:val="a3"/>
    <w:uiPriority w:val="59"/>
    <w:rsid w:val="00ED5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758"/>
  </w:style>
  <w:style w:type="table" w:styleId="a3">
    <w:name w:val="Table Grid"/>
    <w:basedOn w:val="a1"/>
    <w:uiPriority w:val="59"/>
    <w:rsid w:val="00ED5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ED57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ED57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57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7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D57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D575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D5758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D5758"/>
  </w:style>
  <w:style w:type="numbering" w:customStyle="1" w:styleId="111">
    <w:name w:val="Нет списка111"/>
    <w:next w:val="a2"/>
    <w:uiPriority w:val="99"/>
    <w:semiHidden/>
    <w:unhideWhenUsed/>
    <w:rsid w:val="00ED5758"/>
  </w:style>
  <w:style w:type="table" w:customStyle="1" w:styleId="10">
    <w:name w:val="Сетка таблицы1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D5758"/>
  </w:style>
  <w:style w:type="table" w:customStyle="1" w:styleId="110">
    <w:name w:val="Сетка таблицы11"/>
    <w:basedOn w:val="a1"/>
    <w:next w:val="a3"/>
    <w:uiPriority w:val="59"/>
    <w:rsid w:val="00ED57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 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24613</c:v>
                </c:pt>
                <c:pt idx="1">
                  <c:v>32293</c:v>
                </c:pt>
                <c:pt idx="2">
                  <c:v>40952</c:v>
                </c:pt>
                <c:pt idx="3">
                  <c:v>59049</c:v>
                </c:pt>
                <c:pt idx="4">
                  <c:v>71979</c:v>
                </c:pt>
                <c:pt idx="5">
                  <c:v>74960</c:v>
                </c:pt>
                <c:pt idx="6">
                  <c:v>121011</c:v>
                </c:pt>
                <c:pt idx="7">
                  <c:v>141099</c:v>
                </c:pt>
                <c:pt idx="8">
                  <c:v>100247.7</c:v>
                </c:pt>
                <c:pt idx="9">
                  <c:v>116554.4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393152"/>
        <c:axId val="165394688"/>
        <c:axId val="0"/>
      </c:bar3DChart>
      <c:catAx>
        <c:axId val="16539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94688"/>
        <c:crosses val="autoZero"/>
        <c:auto val="1"/>
        <c:lblAlgn val="ctr"/>
        <c:lblOffset val="100"/>
        <c:noMultiLvlLbl val="0"/>
      </c:catAx>
      <c:valAx>
        <c:axId val="165394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5393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General">
                  <c:v>790.6</c:v>
                </c:pt>
                <c:pt idx="1">
                  <c:v>1077</c:v>
                </c:pt>
                <c:pt idx="2">
                  <c:v>1204.4000000000001</c:v>
                </c:pt>
                <c:pt idx="3">
                  <c:v>1936.6</c:v>
                </c:pt>
                <c:pt idx="4">
                  <c:v>2334.1999999999998</c:v>
                </c:pt>
                <c:pt idx="5">
                  <c:v>1826.5</c:v>
                </c:pt>
                <c:pt idx="6" formatCode="General">
                  <c:v>852</c:v>
                </c:pt>
                <c:pt idx="7">
                  <c:v>1246.8</c:v>
                </c:pt>
                <c:pt idx="8">
                  <c:v>1765.3</c:v>
                </c:pt>
                <c:pt idx="9">
                  <c:v>1337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565952"/>
        <c:axId val="165567488"/>
        <c:axId val="0"/>
      </c:bar3DChart>
      <c:catAx>
        <c:axId val="16556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67488"/>
        <c:crosses val="autoZero"/>
        <c:auto val="1"/>
        <c:lblAlgn val="ctr"/>
        <c:lblOffset val="100"/>
        <c:noMultiLvlLbl val="0"/>
      </c:catAx>
      <c:valAx>
        <c:axId val="16556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65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17198</c:v>
                </c:pt>
                <c:pt idx="1">
                  <c:v>20081</c:v>
                </c:pt>
                <c:pt idx="2">
                  <c:v>19531</c:v>
                </c:pt>
                <c:pt idx="3">
                  <c:v>21029</c:v>
                </c:pt>
                <c:pt idx="4">
                  <c:v>25632.7</c:v>
                </c:pt>
                <c:pt idx="5">
                  <c:v>31508.400000000001</c:v>
                </c:pt>
                <c:pt idx="6">
                  <c:v>30071.1</c:v>
                </c:pt>
                <c:pt idx="7" formatCode="#,##0.00">
                  <c:v>31784.9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048512"/>
        <c:axId val="166050048"/>
        <c:axId val="0"/>
      </c:bar3DChart>
      <c:catAx>
        <c:axId val="16604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050048"/>
        <c:crosses val="autoZero"/>
        <c:auto val="1"/>
        <c:lblAlgn val="ctr"/>
        <c:lblOffset val="100"/>
        <c:noMultiLvlLbl val="0"/>
      </c:catAx>
      <c:valAx>
        <c:axId val="1660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48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167088</c:v>
                </c:pt>
                <c:pt idx="1">
                  <c:v>202268</c:v>
                </c:pt>
                <c:pt idx="2">
                  <c:v>209908</c:v>
                </c:pt>
                <c:pt idx="3">
                  <c:v>241007</c:v>
                </c:pt>
                <c:pt idx="4">
                  <c:v>290735.5</c:v>
                </c:pt>
                <c:pt idx="5">
                  <c:v>330248</c:v>
                </c:pt>
                <c:pt idx="6">
                  <c:v>312019.5</c:v>
                </c:pt>
                <c:pt idx="7" formatCode="#,##0.00">
                  <c:v>306708.5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10016"/>
        <c:axId val="167511552"/>
        <c:axId val="0"/>
      </c:bar3DChart>
      <c:catAx>
        <c:axId val="16751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511552"/>
        <c:crosses val="autoZero"/>
        <c:auto val="1"/>
        <c:lblAlgn val="ctr"/>
        <c:lblOffset val="100"/>
        <c:noMultiLvlLbl val="0"/>
      </c:catAx>
      <c:valAx>
        <c:axId val="1675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10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10357</c:v>
                </c:pt>
                <c:pt idx="1">
                  <c:v>12035</c:v>
                </c:pt>
                <c:pt idx="2">
                  <c:v>12711</c:v>
                </c:pt>
                <c:pt idx="3">
                  <c:v>14397</c:v>
                </c:pt>
                <c:pt idx="4">
                  <c:v>18563.5</c:v>
                </c:pt>
                <c:pt idx="5">
                  <c:v>21833.3</c:v>
                </c:pt>
                <c:pt idx="6">
                  <c:v>24731.5</c:v>
                </c:pt>
                <c:pt idx="7" formatCode="#,##0.00">
                  <c:v>21986.1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25376"/>
        <c:axId val="167555840"/>
        <c:axId val="0"/>
      </c:bar3DChart>
      <c:catAx>
        <c:axId val="16752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555840"/>
        <c:crosses val="autoZero"/>
        <c:auto val="1"/>
        <c:lblAlgn val="ctr"/>
        <c:lblOffset val="100"/>
        <c:noMultiLvlLbl val="0"/>
      </c:catAx>
      <c:valAx>
        <c:axId val="16755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25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22905</c:v>
                </c:pt>
                <c:pt idx="1">
                  <c:v>28814</c:v>
                </c:pt>
                <c:pt idx="2">
                  <c:v>36971</c:v>
                </c:pt>
                <c:pt idx="3">
                  <c:v>54817</c:v>
                </c:pt>
                <c:pt idx="4">
                  <c:v>66370</c:v>
                </c:pt>
                <c:pt idx="5">
                  <c:v>69643</c:v>
                </c:pt>
                <c:pt idx="6">
                  <c:v>116993</c:v>
                </c:pt>
                <c:pt idx="7">
                  <c:v>135430</c:v>
                </c:pt>
                <c:pt idx="8">
                  <c:v>94265</c:v>
                </c:pt>
                <c:pt idx="9">
                  <c:v>110410.5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1708</c:v>
                </c:pt>
                <c:pt idx="1">
                  <c:v>3479</c:v>
                </c:pt>
                <c:pt idx="2">
                  <c:v>3981</c:v>
                </c:pt>
                <c:pt idx="3">
                  <c:v>4232</c:v>
                </c:pt>
                <c:pt idx="4">
                  <c:v>5609</c:v>
                </c:pt>
                <c:pt idx="5">
                  <c:v>5317</c:v>
                </c:pt>
                <c:pt idx="6">
                  <c:v>4018</c:v>
                </c:pt>
                <c:pt idx="7">
                  <c:v>5669</c:v>
                </c:pt>
                <c:pt idx="8">
                  <c:v>5982</c:v>
                </c:pt>
                <c:pt idx="9">
                  <c:v>6143.9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354880"/>
        <c:axId val="165356672"/>
        <c:axId val="0"/>
      </c:bar3DChart>
      <c:catAx>
        <c:axId val="16535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56672"/>
        <c:crosses val="autoZero"/>
        <c:auto val="1"/>
        <c:lblAlgn val="ctr"/>
        <c:lblOffset val="100"/>
        <c:noMultiLvlLbl val="0"/>
      </c:catAx>
      <c:valAx>
        <c:axId val="1653566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535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18073</c:v>
                </c:pt>
                <c:pt idx="1">
                  <c:v>19968</c:v>
                </c:pt>
                <c:pt idx="2">
                  <c:v>26899.8</c:v>
                </c:pt>
                <c:pt idx="3">
                  <c:v>45162.3</c:v>
                </c:pt>
                <c:pt idx="4">
                  <c:v>52764.6</c:v>
                </c:pt>
                <c:pt idx="5">
                  <c:v>51493.8</c:v>
                </c:pt>
                <c:pt idx="6">
                  <c:v>93971.8</c:v>
                </c:pt>
                <c:pt idx="7">
                  <c:v>109191.2</c:v>
                </c:pt>
                <c:pt idx="8">
                  <c:v>82571</c:v>
                </c:pt>
                <c:pt idx="9">
                  <c:v>89425.1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389824"/>
        <c:axId val="165391360"/>
        <c:axId val="0"/>
      </c:bar3DChart>
      <c:catAx>
        <c:axId val="16538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91360"/>
        <c:crosses val="autoZero"/>
        <c:auto val="1"/>
        <c:lblAlgn val="ctr"/>
        <c:lblOffset val="100"/>
        <c:noMultiLvlLbl val="0"/>
      </c:catAx>
      <c:valAx>
        <c:axId val="1653913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5389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4340.3</c:v>
                </c:pt>
                <c:pt idx="1">
                  <c:v>4367.3</c:v>
                </c:pt>
                <c:pt idx="2">
                  <c:v>4481.3999999999996</c:v>
                </c:pt>
                <c:pt idx="3">
                  <c:v>5744.3</c:v>
                </c:pt>
                <c:pt idx="4">
                  <c:v>6707.3</c:v>
                </c:pt>
                <c:pt idx="5">
                  <c:v>8679.2000000000007</c:v>
                </c:pt>
                <c:pt idx="6">
                  <c:v>9966.5</c:v>
                </c:pt>
                <c:pt idx="7">
                  <c:v>9307.1</c:v>
                </c:pt>
                <c:pt idx="8">
                  <c:v>10697.8</c:v>
                </c:pt>
                <c:pt idx="9">
                  <c:v>10947.1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28224"/>
        <c:axId val="165470976"/>
        <c:axId val="0"/>
      </c:bar3DChart>
      <c:catAx>
        <c:axId val="16542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70976"/>
        <c:crosses val="autoZero"/>
        <c:auto val="1"/>
        <c:lblAlgn val="ctr"/>
        <c:lblOffset val="100"/>
        <c:noMultiLvlLbl val="0"/>
      </c:catAx>
      <c:valAx>
        <c:axId val="1654709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5428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37</c:v>
                </c:pt>
                <c:pt idx="1">
                  <c:v>65</c:v>
                </c:pt>
                <c:pt idx="2">
                  <c:v>72</c:v>
                </c:pt>
                <c:pt idx="3">
                  <c:v>45</c:v>
                </c:pt>
                <c:pt idx="4">
                  <c:v>63</c:v>
                </c:pt>
                <c:pt idx="5">
                  <c:v>35</c:v>
                </c:pt>
                <c:pt idx="6">
                  <c:v>103</c:v>
                </c:pt>
                <c:pt idx="7">
                  <c:v>152</c:v>
                </c:pt>
                <c:pt idx="8">
                  <c:v>69.2</c:v>
                </c:pt>
                <c:pt idx="9">
                  <c:v>207.3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87360"/>
        <c:axId val="165488896"/>
        <c:axId val="0"/>
      </c:bar3DChart>
      <c:catAx>
        <c:axId val="1654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88896"/>
        <c:crosses val="autoZero"/>
        <c:auto val="1"/>
        <c:lblAlgn val="ctr"/>
        <c:lblOffset val="100"/>
        <c:noMultiLvlLbl val="0"/>
      </c:catAx>
      <c:valAx>
        <c:axId val="1654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8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421.8</c:v>
                </c:pt>
                <c:pt idx="1">
                  <c:v>482</c:v>
                </c:pt>
                <c:pt idx="2">
                  <c:v>460.9</c:v>
                </c:pt>
                <c:pt idx="3">
                  <c:v>487.3</c:v>
                </c:pt>
                <c:pt idx="4" formatCode="#,##0.00">
                  <c:v>1931</c:v>
                </c:pt>
                <c:pt idx="5" formatCode="#,##0.00">
                  <c:v>1278.0999999999999</c:v>
                </c:pt>
                <c:pt idx="6">
                  <c:v>646.29999999999995</c:v>
                </c:pt>
                <c:pt idx="7">
                  <c:v>724.8</c:v>
                </c:pt>
                <c:pt idx="8">
                  <c:v>815.3</c:v>
                </c:pt>
                <c:pt idx="9">
                  <c:v>852.4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982400"/>
        <c:axId val="163488128"/>
        <c:axId val="0"/>
      </c:bar3DChart>
      <c:catAx>
        <c:axId val="1489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488128"/>
        <c:crosses val="autoZero"/>
        <c:auto val="1"/>
        <c:lblAlgn val="ctr"/>
        <c:lblOffset val="100"/>
        <c:noMultiLvlLbl val="0"/>
      </c:catAx>
      <c:valAx>
        <c:axId val="16348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824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 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1">
                  <c:v>1432.5</c:v>
                </c:pt>
                <c:pt idx="2">
                  <c:v>1168</c:v>
                </c:pt>
                <c:pt idx="3" formatCode="General">
                  <c:v>787.7</c:v>
                </c:pt>
                <c:pt idx="4">
                  <c:v>1118.5999999999999</c:v>
                </c:pt>
                <c:pt idx="5">
                  <c:v>1143.9000000000001</c:v>
                </c:pt>
                <c:pt idx="6">
                  <c:v>1189.4000000000001</c:v>
                </c:pt>
                <c:pt idx="7">
                  <c:v>1848.7</c:v>
                </c:pt>
                <c:pt idx="8">
                  <c:v>2179.5</c:v>
                </c:pt>
                <c:pt idx="9">
                  <c:v>2964.6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577088"/>
        <c:axId val="165578624"/>
        <c:axId val="0"/>
      </c:bar3DChart>
      <c:catAx>
        <c:axId val="16557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78624"/>
        <c:crosses val="autoZero"/>
        <c:auto val="1"/>
        <c:lblAlgn val="ctr"/>
        <c:lblOffset val="100"/>
        <c:noMultiLvlLbl val="0"/>
      </c:catAx>
      <c:valAx>
        <c:axId val="1655786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5577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2011год 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359.3</c:v>
                </c:pt>
                <c:pt idx="1">
                  <c:v>452.1</c:v>
                </c:pt>
                <c:pt idx="2">
                  <c:v>609.70000000000005</c:v>
                </c:pt>
                <c:pt idx="3">
                  <c:v>819.7</c:v>
                </c:pt>
                <c:pt idx="4" formatCode="#,##0.00">
                  <c:v>1003.6</c:v>
                </c:pt>
                <c:pt idx="5" formatCode="#,##0.00">
                  <c:v>1051.4000000000001</c:v>
                </c:pt>
                <c:pt idx="6">
                  <c:v>822</c:v>
                </c:pt>
                <c:pt idx="7">
                  <c:v>658.1</c:v>
                </c:pt>
                <c:pt idx="8">
                  <c:v>695.3</c:v>
                </c:pt>
                <c:pt idx="9">
                  <c:v>704.3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607296"/>
        <c:axId val="165608832"/>
        <c:axId val="0"/>
      </c:bar3DChart>
      <c:catAx>
        <c:axId val="1656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608832"/>
        <c:crosses val="autoZero"/>
        <c:auto val="1"/>
        <c:lblAlgn val="ctr"/>
        <c:lblOffset val="100"/>
        <c:noMultiLvlLbl val="0"/>
      </c:catAx>
      <c:valAx>
        <c:axId val="1656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607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510.6</c:v>
                </c:pt>
                <c:pt idx="1">
                  <c:v>463.5</c:v>
                </c:pt>
                <c:pt idx="2">
                  <c:v>615.29999999999995</c:v>
                </c:pt>
                <c:pt idx="3">
                  <c:v>530.5</c:v>
                </c:pt>
                <c:pt idx="4">
                  <c:v>561.1</c:v>
                </c:pt>
                <c:pt idx="5">
                  <c:v>631.6</c:v>
                </c:pt>
                <c:pt idx="6">
                  <c:v>638.6</c:v>
                </c:pt>
                <c:pt idx="7">
                  <c:v>924.4</c:v>
                </c:pt>
                <c:pt idx="8">
                  <c:v>828.9</c:v>
                </c:pt>
                <c:pt idx="9">
                  <c:v>637.1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57920"/>
        <c:axId val="165459456"/>
        <c:axId val="0"/>
      </c:bar3DChart>
      <c:catAx>
        <c:axId val="1654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59456"/>
        <c:crosses val="autoZero"/>
        <c:auto val="1"/>
        <c:lblAlgn val="ctr"/>
        <c:lblOffset val="100"/>
        <c:noMultiLvlLbl val="0"/>
      </c:catAx>
      <c:valAx>
        <c:axId val="16545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57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63</Pages>
  <Words>15602</Words>
  <Characters>88937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2016-05-30T09:58:00Z</cp:lastPrinted>
  <dcterms:created xsi:type="dcterms:W3CDTF">2016-04-28T12:32:00Z</dcterms:created>
  <dcterms:modified xsi:type="dcterms:W3CDTF">2016-05-30T11:47:00Z</dcterms:modified>
</cp:coreProperties>
</file>