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18" w:rsidRDefault="009F1618" w:rsidP="009F1618">
      <w:pPr>
        <w:jc w:val="center"/>
      </w:pPr>
      <w:r>
        <w:t>РОССИЙСКАЯ ФЕДЕРАЦИЯ</w:t>
      </w:r>
    </w:p>
    <w:p w:rsidR="009F1618" w:rsidRDefault="00194A28" w:rsidP="009F1618">
      <w:pPr>
        <w:jc w:val="center"/>
      </w:pPr>
      <w:r>
        <w:t>БРЯНСКАЯ ОБЛАСТЬ ПОГАРСКИЙ РАЙОН</w:t>
      </w:r>
    </w:p>
    <w:p w:rsidR="009F1618" w:rsidRDefault="00194A28" w:rsidP="009F1618">
      <w:pPr>
        <w:jc w:val="center"/>
      </w:pPr>
      <w:r>
        <w:t>ДОЛБОТОВСКАЯ СЕЛЬСКАЯ АДМИНИСТРАЦИЯ</w:t>
      </w:r>
    </w:p>
    <w:p w:rsidR="009F1618" w:rsidRDefault="009F1618" w:rsidP="009F1618">
      <w:pPr>
        <w:jc w:val="center"/>
      </w:pPr>
    </w:p>
    <w:p w:rsidR="009F1618" w:rsidRDefault="009F1618" w:rsidP="009F1618">
      <w:pPr>
        <w:jc w:val="center"/>
      </w:pPr>
      <w:r>
        <w:t>ПОСТАНОВЛЕНИЕ</w:t>
      </w:r>
    </w:p>
    <w:p w:rsidR="00561ADC" w:rsidRDefault="00561ADC"/>
    <w:p w:rsidR="009F1618" w:rsidRDefault="00F66B61">
      <w:r>
        <w:t>о</w:t>
      </w:r>
      <w:r w:rsidR="009F1618">
        <w:t>т</w:t>
      </w:r>
      <w:r w:rsidR="00194A28">
        <w:t xml:space="preserve"> 29.04.2016г. №4а</w:t>
      </w:r>
    </w:p>
    <w:p w:rsidR="009F1618" w:rsidRDefault="00194A28">
      <w:r>
        <w:t>д. Долботово</w:t>
      </w:r>
    </w:p>
    <w:p w:rsidR="00194A28" w:rsidRDefault="00194A28"/>
    <w:p w:rsidR="00CE6D13" w:rsidRDefault="00CE6D13">
      <w:r>
        <w:t xml:space="preserve">Об утверждении </w:t>
      </w:r>
      <w:proofErr w:type="gramStart"/>
      <w:r>
        <w:t>административного</w:t>
      </w:r>
      <w:proofErr w:type="gramEnd"/>
      <w:r>
        <w:t xml:space="preserve"> </w:t>
      </w:r>
    </w:p>
    <w:p w:rsidR="00CE6D13" w:rsidRDefault="00CE6D13">
      <w:r>
        <w:t xml:space="preserve">регламента по исполнению </w:t>
      </w:r>
      <w:proofErr w:type="gramStart"/>
      <w:r>
        <w:t>муниципальной</w:t>
      </w:r>
      <w:proofErr w:type="gramEnd"/>
      <w:r>
        <w:t xml:space="preserve"> </w:t>
      </w:r>
    </w:p>
    <w:p w:rsidR="00CE6D13" w:rsidRDefault="00CE6D13">
      <w:r>
        <w:t xml:space="preserve">функции «Муниципальный земельный контроль </w:t>
      </w:r>
    </w:p>
    <w:p w:rsidR="00CE6D13" w:rsidRDefault="00CE6D13">
      <w:r>
        <w:t xml:space="preserve">за использованием земель, расположенных </w:t>
      </w:r>
      <w:proofErr w:type="gramStart"/>
      <w:r>
        <w:t>в</w:t>
      </w:r>
      <w:proofErr w:type="gramEnd"/>
      <w:r>
        <w:t xml:space="preserve"> </w:t>
      </w:r>
    </w:p>
    <w:p w:rsidR="00CE6D13" w:rsidRDefault="00CE6D13">
      <w:proofErr w:type="gramStart"/>
      <w:r>
        <w:t>границах</w:t>
      </w:r>
      <w:proofErr w:type="gramEnd"/>
      <w:r w:rsidR="00194A28">
        <w:t xml:space="preserve"> Долботовского сельского поселения</w:t>
      </w:r>
      <w:r>
        <w:t xml:space="preserve"> </w:t>
      </w:r>
    </w:p>
    <w:p w:rsidR="00CE6D13" w:rsidRDefault="00CE6D13">
      <w:r>
        <w:t>Погарского района Брянской области</w:t>
      </w:r>
      <w:r w:rsidR="003F343C">
        <w:t>»</w:t>
      </w:r>
    </w:p>
    <w:p w:rsidR="008666FA" w:rsidRDefault="008666FA"/>
    <w:p w:rsidR="003F343C" w:rsidRDefault="00CE6D13" w:rsidP="00CE6D13">
      <w:pPr>
        <w:ind w:firstLine="708"/>
        <w:jc w:val="both"/>
      </w:pPr>
      <w:proofErr w:type="gramStart"/>
      <w:r>
        <w:t>Р</w:t>
      </w:r>
      <w:r w:rsidRPr="00CE6D13">
        <w:t>уководствуясь ст. 72 Земельного кодекса РФ, ст.14  Федерального Закона от 06.10.2003 г.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законом Брянской области  от 08.11.2012 №94-З « О порядке организации и осуществления муниципального земельного контроля на  территории</w:t>
      </w:r>
      <w:proofErr w:type="gramEnd"/>
      <w:r w:rsidRPr="00CE6D13">
        <w:t xml:space="preserve"> муниципальных образований Брянской области»</w:t>
      </w:r>
      <w:r>
        <w:t>, решением</w:t>
      </w:r>
      <w:r w:rsidR="007E74B0">
        <w:t xml:space="preserve"> Долботовского сельского</w:t>
      </w:r>
      <w:r>
        <w:t xml:space="preserve"> Совета </w:t>
      </w:r>
      <w:r w:rsidR="007E74B0">
        <w:t xml:space="preserve">народных депутатов </w:t>
      </w:r>
      <w:r>
        <w:t xml:space="preserve"> </w:t>
      </w:r>
      <w:r w:rsidRPr="00CE6D13">
        <w:t>от</w:t>
      </w:r>
      <w:r w:rsidR="007E74B0">
        <w:t xml:space="preserve">  26.11.2015 №3-37</w:t>
      </w:r>
      <w:r w:rsidRPr="00CE6D13">
        <w:t xml:space="preserve">   </w:t>
      </w:r>
      <w:r>
        <w:t>«Об утверждении Положения о порядке организации и осуществления муниципального земельного контроля в отношении объектов земельных отношений на территории муниципального</w:t>
      </w:r>
      <w:r w:rsidR="007E74B0">
        <w:t xml:space="preserve"> образования Долботовское сельское </w:t>
      </w:r>
      <w:r>
        <w:t xml:space="preserve"> поселение»</w:t>
      </w:r>
      <w:r w:rsidRPr="00CE6D13">
        <w:t xml:space="preserve">  </w:t>
      </w:r>
    </w:p>
    <w:p w:rsidR="006A25A3" w:rsidRDefault="006A25A3" w:rsidP="006A25A3">
      <w:pPr>
        <w:jc w:val="both"/>
      </w:pPr>
      <w:r>
        <w:t>ПОСТАНОВЛЯЮ:</w:t>
      </w:r>
    </w:p>
    <w:p w:rsidR="006A25A3" w:rsidRDefault="006A25A3" w:rsidP="006A25A3">
      <w:pPr>
        <w:pStyle w:val="a3"/>
        <w:numPr>
          <w:ilvl w:val="0"/>
          <w:numId w:val="1"/>
        </w:numPr>
        <w:jc w:val="both"/>
      </w:pPr>
      <w:r>
        <w:t xml:space="preserve">Утвердить прилагаемый  административный регламент по исполнению муниципальной функции «Муниципальный земельный </w:t>
      </w:r>
      <w:proofErr w:type="gramStart"/>
      <w:r>
        <w:t>контроль за</w:t>
      </w:r>
      <w:proofErr w:type="gramEnd"/>
      <w:r>
        <w:t xml:space="preserve"> использованием земель, расположенных </w:t>
      </w:r>
      <w:r w:rsidR="00846856">
        <w:t>в границах Долботовского сельского</w:t>
      </w:r>
      <w:r>
        <w:t xml:space="preserve"> поселения Погарского района Брянской области».</w:t>
      </w:r>
    </w:p>
    <w:p w:rsidR="006A25A3" w:rsidRDefault="00846856" w:rsidP="006A25A3">
      <w:pPr>
        <w:pStyle w:val="a3"/>
        <w:numPr>
          <w:ilvl w:val="0"/>
          <w:numId w:val="1"/>
        </w:numPr>
        <w:jc w:val="both"/>
      </w:pPr>
      <w:r>
        <w:t>Настоящее П</w:t>
      </w:r>
      <w:r w:rsidR="006A25A3">
        <w:t>остановление разместить на</w:t>
      </w:r>
      <w:r>
        <w:t xml:space="preserve"> официальном сайте Долботовской сельской администрации</w:t>
      </w:r>
      <w:r w:rsidR="006A25A3">
        <w:t xml:space="preserve"> в сети «Интернет».</w:t>
      </w:r>
    </w:p>
    <w:p w:rsidR="006A25A3" w:rsidRDefault="006A25A3" w:rsidP="006A25A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666FA" w:rsidRDefault="00CE6D13" w:rsidP="00CE6D13">
      <w:pPr>
        <w:ind w:firstLine="708"/>
        <w:jc w:val="both"/>
      </w:pPr>
      <w:r w:rsidRPr="00CE6D13">
        <w:t xml:space="preserve">          </w:t>
      </w:r>
    </w:p>
    <w:p w:rsidR="00846856" w:rsidRDefault="00846856" w:rsidP="008666FA">
      <w:r>
        <w:t>Глава Долботовского</w:t>
      </w:r>
    </w:p>
    <w:p w:rsidR="008666FA" w:rsidRDefault="00846856" w:rsidP="008666FA">
      <w:r>
        <w:t>сельского поселения                                                    В. В. Афанасенко</w:t>
      </w:r>
    </w:p>
    <w:p w:rsidR="00E71D1D" w:rsidRDefault="00E71D1D" w:rsidP="008666FA"/>
    <w:p w:rsidR="00E71D1D" w:rsidRDefault="00E71D1D" w:rsidP="008666FA"/>
    <w:p w:rsidR="00E71D1D" w:rsidRDefault="00E71D1D" w:rsidP="008666FA"/>
    <w:p w:rsidR="00E71D1D" w:rsidRDefault="00E71D1D" w:rsidP="008666FA"/>
    <w:p w:rsidR="00E71D1D" w:rsidRDefault="00E71D1D" w:rsidP="008666FA"/>
    <w:p w:rsidR="00E71D1D" w:rsidRDefault="00E71D1D" w:rsidP="008666FA"/>
    <w:p w:rsidR="00E71D1D" w:rsidRDefault="00E71D1D" w:rsidP="008666FA"/>
    <w:p w:rsidR="00E71D1D" w:rsidRDefault="00E71D1D">
      <w:bookmarkStart w:id="0" w:name="_GoBack"/>
      <w:bookmarkEnd w:id="0"/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954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ascii="Liberation Serif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Утверждено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954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ascii="Liberation Serif" w:eastAsia="Times New Roman" w:hAnsi="Liberation Serif" w:cs="Times New Roman"/>
          <w:color w:val="000000"/>
          <w:kern w:val="1"/>
          <w:sz w:val="22"/>
          <w:szCs w:val="24"/>
          <w:lang w:eastAsia="ru-RU" w:bidi="hi-IN"/>
        </w:rPr>
        <w:t>постановлением Долботовской сельской администрации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954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  <w:t>от 29.04.2016г. №4а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center"/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</w:pP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АДМИНИСТРАТИВНЫЙ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РЕГЛАМЕНТ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ИСПОЛНЕНИЮ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МУНИЦИПАЛЬНОЙ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ФУНКЦИИ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center"/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</w:pP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«МУНИЦИПАЛЬНЫЙ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ЗЕМЕЛЬНЫЙ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КОНТРОЛЬ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ЗА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ИСПОЛЬЗОВАНИЕМ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ЗЕМЕЛЬ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РАСПОЛОЖЕННЫХ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ГРАНИЦАХ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ДОЛБОТОВСКОГО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СЕЛЬСКОГО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ПОСЕЛЕНИЯ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ОБЛАСТИ»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</w:pPr>
      <w:bookmarkStart w:id="1" w:name="Par54"/>
      <w:bookmarkEnd w:id="1"/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Общие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положения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720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1.1.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функции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"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bookmarkStart w:id="2" w:name="__DdeLink__73520_1544950094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расположенных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границах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поселения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bookmarkEnd w:id="2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области»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далее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разработан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целях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реализации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hyperlink r:id="rId6" w:history="1"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>закона</w:t>
        </w:r>
      </w:hyperlink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26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декабря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2008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N 294-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"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защите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надзора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"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устанавливает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порядок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организации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осуществления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расположенных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границах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поселения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согласно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Конституции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Кодексу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административных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правонарушениях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далее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КоАП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РФ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);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Земельному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кодексу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Федеральному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hyperlink r:id="rId7" w:history="1"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>закону</w:t>
        </w:r>
      </w:hyperlink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введении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действие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кодекса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"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25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октября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2001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N 137-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ФЗ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Федеральному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hyperlink r:id="rId8" w:history="1"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>закону</w:t>
        </w:r>
      </w:hyperlink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26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декабря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2008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N 294-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ФЗ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защите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прав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государственного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надзора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";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-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Федерального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hyperlink r:id="rId9" w:history="1">
        <w:proofErr w:type="gramStart"/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>закон</w:t>
        </w:r>
        <w:proofErr w:type="gramEnd"/>
      </w:hyperlink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06.10.2003 N 131-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ФЗ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общих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принципах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организации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местного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самоуправления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"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Закону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8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ноября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2010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N 94-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порядке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организации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осуществления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территории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образований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" 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Закону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31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декабря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2009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N 117-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некоторых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вопросах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организации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осуществления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регионального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государственного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надзора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территории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";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Закону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15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июня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2007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N 88-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административных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правонарушениях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территории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";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hyperlink r:id="rId10" w:history="1"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>Уставу</w:t>
        </w:r>
      </w:hyperlink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поселения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1.2.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Наименование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функции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«Муниципальный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расположенных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границах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поселения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"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далее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функция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).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расположенных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границах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поселения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далее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форме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соблюдения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lastRenderedPageBreak/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1.3.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Исполнение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муниципальной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функции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осуществляет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Долботовская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сельская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администрация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должностные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назначенные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главой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исполнение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муниципальной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функции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1.4.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нахождения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: 243554,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ул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Новая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.18.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Режим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: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понедельник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четверг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8.30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17.45,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пятница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8.30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16.30,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перерыв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обед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13.00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14.00.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Выходные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суббота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воскресенье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официального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сайта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Интернет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: </w:t>
      </w:r>
      <w:r w:rsidRPr="00E71D1D">
        <w:rPr>
          <w:rFonts w:ascii="Calibri" w:eastAsia="Times New Roman" w:hAnsi="Calibri" w:cs="Times New Roman"/>
          <w:color w:val="000000"/>
          <w:kern w:val="1"/>
          <w:sz w:val="24"/>
          <w:szCs w:val="24"/>
          <w:lang w:val="en-US" w:eastAsia="ru-RU" w:bidi="hi-IN"/>
        </w:rPr>
        <w:t>v</w:t>
      </w:r>
      <w:r w:rsidRPr="00E71D1D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ru-RU" w:bidi="hi-IN"/>
        </w:rPr>
        <w:t>.</w:t>
      </w:r>
      <w:proofErr w:type="spellStart"/>
      <w:r w:rsidRPr="00E71D1D">
        <w:rPr>
          <w:rFonts w:ascii="Calibri" w:eastAsia="Times New Roman" w:hAnsi="Calibri" w:cs="Times New Roman"/>
          <w:color w:val="000000"/>
          <w:kern w:val="1"/>
          <w:sz w:val="24"/>
          <w:szCs w:val="24"/>
          <w:lang w:val="en-US" w:eastAsia="ru-RU" w:bidi="hi-IN"/>
        </w:rPr>
        <w:t>afanasencko</w:t>
      </w:r>
      <w:proofErr w:type="spellEnd"/>
      <w:r w:rsidRPr="00E71D1D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ru-RU" w:bidi="hi-IN"/>
        </w:rPr>
        <w:t>2014@</w:t>
      </w:r>
      <w:proofErr w:type="spellStart"/>
      <w:r w:rsidRPr="00E71D1D">
        <w:rPr>
          <w:rFonts w:ascii="Calibri" w:eastAsia="Times New Roman" w:hAnsi="Calibri" w:cs="Times New Roman"/>
          <w:color w:val="000000"/>
          <w:kern w:val="1"/>
          <w:sz w:val="24"/>
          <w:szCs w:val="24"/>
          <w:lang w:val="en-US" w:eastAsia="ru-RU" w:bidi="hi-IN"/>
        </w:rPr>
        <w:t>yandex</w:t>
      </w:r>
      <w:proofErr w:type="spellEnd"/>
      <w:r w:rsidRPr="00E71D1D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ru-RU" w:bidi="hi-IN"/>
        </w:rPr>
        <w:t>.</w:t>
      </w:r>
      <w:proofErr w:type="spellStart"/>
      <w:r w:rsidRPr="00E71D1D">
        <w:rPr>
          <w:rFonts w:ascii="Calibri" w:eastAsia="Times New Roman" w:hAnsi="Calibri" w:cs="Times New Roman"/>
          <w:color w:val="000000"/>
          <w:kern w:val="1"/>
          <w:sz w:val="24"/>
          <w:szCs w:val="24"/>
          <w:lang w:val="en-US" w:eastAsia="ru-RU" w:bidi="hi-IN"/>
        </w:rPr>
        <w:t>ru</w:t>
      </w:r>
      <w:proofErr w:type="spell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тел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./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факс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: 8(48349)9-43-17,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тел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.: 8(48349)9-43-17.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Предметом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соблюдение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обязательных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нормативных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1.5.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подлежат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осуществляющие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территории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поселения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1.6.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мероприятий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взимается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1.7.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задачами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являются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обеспечение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соблюдения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целевым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назначением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видом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разрешенного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Правил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землепользования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застройки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образования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поселение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далее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);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защита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общественных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интересов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1.8.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обязанности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входит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являются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расположенных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границах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поселения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границах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поселения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далее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организуют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проводят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соблюдения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далее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);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составляют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выдают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обязательные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предписания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невыполнении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предписания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составляют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протоколы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части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1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статьи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19.5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Кодекса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административных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правонарушениях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lastRenderedPageBreak/>
        <w:t>согласно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приложению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№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4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административному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регламенту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принимают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выявленных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предупреждению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предотвращению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возможного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причинения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вреда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жизни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здоровью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вреда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животным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растениям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окружающей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среде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обеспечению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безопасности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предупреждению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возникновения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чрезвычайных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ситуаций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природного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техногенного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характера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83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направляют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материалы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вопросов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привлечения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виновных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ответственности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выявленных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составляют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протоколы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правонарушениях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предусмотренных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частью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1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статьи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19.4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частью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1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статьи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19.4.1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статьей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19.7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Кодекса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административных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правонарушениях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статьей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6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Закона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15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июля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2007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№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88-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административных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правонарушениях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территории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".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имеют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запрашивать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своей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компетенцией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получать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исполнительной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территориальных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исполнительной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субъектов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самоуправления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организаций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необходимые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материалы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состоянии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числе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удостоверяющие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находящиеся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объекты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использующих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проводятся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относящейся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предмету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посещать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предъявлении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служебного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удостоверения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организации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объекты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обследовать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находящиеся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собственности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владении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пользовании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аренде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границах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поселения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обращаться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внутренних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дел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содействием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предотвращении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пресечении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препятствующих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использующих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4)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вносит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самоуправления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издавшие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вопросам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предложения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направляет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материалы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вопросов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привлечения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виновных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ответственности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выявленных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своевременно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исполнять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предоставленные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полномочия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выявлению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пресечению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соблюдать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интересы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распоряжения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4)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посещать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объекты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целях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только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время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служебных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обязанностей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предъявлении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служебного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удостоверения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копии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распоряжения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предусмотренном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hyperlink r:id="rId11" w:history="1"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>частью</w:t>
        </w:r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 xml:space="preserve"> 5 </w:t>
        </w:r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>статьи</w:t>
        </w:r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 xml:space="preserve"> 10</w:t>
        </w:r>
      </w:hyperlink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Федерального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закона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26.12.2008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№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294-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ФЗ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защите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прав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надзора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",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копии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согласовании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lastRenderedPageBreak/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препятствовать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гражданину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присутствовать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давать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разъяснения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вопросам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относящимся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предмету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6)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предоставлять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гражданину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присутствующим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относящиеся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предмету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7)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знакомить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гражданина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результатами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8)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доказывать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обоснованность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своих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обжаловании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порядке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9)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соблюдать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10)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предусмотрено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11)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перед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началом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просьбе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гражданина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ознакомить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положениями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12)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запись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журнале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учета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вести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13)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результатом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функции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составление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акта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двух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экземплярах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форме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настоящим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приложение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№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2).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3" w:name="Par124"/>
      <w:bookmarkEnd w:id="3"/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2.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Требования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порядку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b/>
          <w:color w:val="000000"/>
          <w:kern w:val="1"/>
          <w:sz w:val="26"/>
          <w:szCs w:val="24"/>
          <w:u w:color="000000"/>
          <w:lang w:eastAsia="ru-RU" w:bidi="hi-IN"/>
        </w:rPr>
        <w:t>проверок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4" w:name="Par126"/>
      <w:bookmarkEnd w:id="4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2.1.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Порядок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информирования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2.1.1.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Ежегодный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филиалов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представительств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обособленных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структурных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подразделений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далее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Ежегодный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разрабатывается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полномочиями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утверждается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администрацией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Утвержденный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администрацией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Ежегодный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доводится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заинтересованных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посредством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размещения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официальном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сайте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информационно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-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телекоммуникационной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Интернет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1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июня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предшествующего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году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направляет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проект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Ежегодного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территориальные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надзора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нахождения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планируется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предмет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включения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объектов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внесения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предложений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совместных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плановых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5" w:name="__UnoMark__198216_37332517"/>
      <w:bookmarkEnd w:id="5"/>
      <w:r w:rsidRPr="00E71D1D">
        <w:rPr>
          <w:rFonts w:ascii="Arial" w:eastAsia="Times New Roman" w:hAnsi="Liberation Serif" w:cs="Times New Roman"/>
          <w:color w:val="000000"/>
          <w:kern w:val="1"/>
          <w:sz w:val="20"/>
          <w:szCs w:val="24"/>
          <w:u w:color="000000"/>
          <w:lang w:eastAsia="ru-RU" w:bidi="hi-IN"/>
        </w:rPr>
        <w:t xml:space="preserve"> </w:t>
      </w:r>
      <w:bookmarkStart w:id="6" w:name="__UnoMark__198211_37332517"/>
      <w:bookmarkEnd w:id="6"/>
      <w:r w:rsidRPr="00E71D1D">
        <w:rPr>
          <w:rFonts w:ascii="Arial" w:eastAsia="Times New Roman" w:hAnsi="Liberation Serif" w:cs="Times New Roman"/>
          <w:color w:val="000000"/>
          <w:kern w:val="1"/>
          <w:sz w:val="20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1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сентября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предшествующего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году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направляет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проект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ежегодного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прокуратуры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рассматривает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предложения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проект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Ежегодного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поступающие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прокуратуры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итогам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направляет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прокуратуры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1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ноября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предшествующего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году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lastRenderedPageBreak/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утвержденный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ежегодный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2.1.2.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уведомляет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позднее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течение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рабочих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начала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посредством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копии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распоряжения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заказным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почтовым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отправлением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уведомлением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вручении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доступным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способом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2.1.3.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исключением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основания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hyperlink r:id="rId12" w:history="1"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>пункте</w:t>
        </w:r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 xml:space="preserve"> 2 </w:t>
        </w:r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>части</w:t>
        </w:r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 xml:space="preserve"> 2 </w:t>
        </w:r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>статьи</w:t>
        </w:r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 xml:space="preserve"> 10</w:t>
        </w:r>
      </w:hyperlink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Федерального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закона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26.12.2008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№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294-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ФЗ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защите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прав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надзора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",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уведомляет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менее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двадцать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четыре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часа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начала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любым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доступным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способом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2.1.4.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информационных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стендах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помещении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нахождения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размещается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: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почтовый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нахождения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режим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номера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телефонов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можно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получить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необходимую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справочную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электронной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почты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порядок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получения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письменных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консультаций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правилам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функции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2.1.5.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Консультации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процедуре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функции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предоставляются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письменным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обращениям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числе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поступившим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электронной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почте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факсимильной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связи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телефону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личной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заинтересованного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).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2.1.6.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письменных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личный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производятся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порядке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предусмотренном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2.1.7.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консультировании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предоставляют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следующую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справочную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почтовый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нахождения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режим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номера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телефонов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можно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получить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необходимую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справочную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официального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сайта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Интернет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электронной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почты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нормативных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исполняет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функцию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представляемым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используемым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функции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регистрационном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номере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дате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которыми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зарегистрированы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системе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делопроизводства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предлагающиеся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2.1.8.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Консультирование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вопросам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только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письменного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2.1.9.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Ответ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письменное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порядке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Федеральным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hyperlink r:id="rId13" w:history="1">
        <w:r w:rsidRPr="00E71D1D">
          <w:rPr>
            <w:rFonts w:eastAsia="Times New Roman" w:hAnsi="Liberation Serif" w:cs="Times New Roman"/>
            <w:kern w:val="1"/>
            <w:sz w:val="24"/>
            <w:szCs w:val="24"/>
            <w:u w:color="000000"/>
            <w:lang w:bidi="hi-IN"/>
          </w:rPr>
          <w:t>законом</w:t>
        </w:r>
      </w:hyperlink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2006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№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59-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"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порядке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".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7" w:name="Par148"/>
      <w:bookmarkEnd w:id="7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2.2.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2.2.1.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как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может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превышать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двадцать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рабочих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2.2.2.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одного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субъекта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малого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общий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может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превышать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пятьдесят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часов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lastRenderedPageBreak/>
        <w:t>малого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предприятия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пятнадцать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часов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proofErr w:type="spell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микропредприятия</w:t>
      </w:r>
      <w:proofErr w:type="spell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год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2.2.3.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исключительных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связанных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необходимостью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сложных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длительных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исследований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испытаний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специальных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экспертиз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расследований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мотивированных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предложений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проводящих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может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быть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продлен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более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двадцать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рабочих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малых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предприятий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более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пятьдесят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часов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микро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предприятий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более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пятнадцать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часов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2.2.4.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может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превышать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тридцати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календарных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8" w:name="Par156"/>
      <w:bookmarkEnd w:id="8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2.3.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2.3.1.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здании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Центральный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вход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здания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оборудован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вывеской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содержащей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наименовании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территории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прилегающей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зданию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предусмотрены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парковки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автотранспортных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средств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Доступ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парковочным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бесплатным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кабинетах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расположенных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здании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кабинеты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соответствуют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санитарно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-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эпидемиологическим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правилам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нормативам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оборудованы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противопожарной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системой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средствами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пожаротушения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Рабочее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оборудовано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телефоном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персональным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компьютером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возможностью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доступа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необходимым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информационным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базам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печатающим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устройствам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организации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рабочих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предусмотрена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возможность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свободного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входа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выхода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помещения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необходимости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2.3.2.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как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нахождения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фактического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2.3.3.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фактического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нахождения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используемого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9" w:name="Par167"/>
      <w:bookmarkEnd w:id="9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Состав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последовательность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выполнения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процедур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требования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порядку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оформления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10" w:name="Par171"/>
      <w:bookmarkEnd w:id="10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3.1.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включает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себя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следующие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процедуры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принятие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оформление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результатов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11" w:name="Par176"/>
      <w:bookmarkEnd w:id="11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br w:type="page"/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lastRenderedPageBreak/>
        <w:t xml:space="preserve">3.2.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left="567" w:right="227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3.2.1.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Предметом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12" w:name="Par179"/>
      <w:bookmarkEnd w:id="12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соблюдение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целевым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назначением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видом</w:t>
      </w:r>
      <w:r w:rsidRPr="00E71D1D"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разрешенного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Правил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землепользования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застройки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образований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поселений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выполнение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предписаний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подпункте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настоящего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пункта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3.2.2.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Исполнение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административного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регламента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осуществляется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виде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проводятся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проводятся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13" w:name="Par185"/>
      <w:bookmarkEnd w:id="13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3.3.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Организация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3.3.1.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Предметом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соблюдение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процессе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своей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3.3.2.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ежегодных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указываются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следующие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наименования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фамилии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имена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отчества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подлежит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цель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каждой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каждой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4)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наименование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конкретную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совместной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указываются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наименования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всех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участвующих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3.3.3.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включения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Ежегодный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истечение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государственной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регистрации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окончания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последней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  <w:proofErr w:type="gramEnd"/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начала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предпринимательской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представленным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Правительством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соответствующей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исполнительной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уведомлением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начале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отдельных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видов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предпринимательской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предоставления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услуг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требующих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уведомления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  <w:proofErr w:type="gramEnd"/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3.3.4.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форме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14" w:name="Par199"/>
      <w:bookmarkEnd w:id="14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3.4.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Организация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3.4.1.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Предметом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соблюдение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процессе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lastRenderedPageBreak/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выполнение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предписаний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мероприятий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предотвращению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причинения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вреда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жизни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здоровью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вреда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животным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растениям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окружающей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среде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обеспечению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безопасности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предупреждению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возникновения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чрезвычайных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ситуаций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природного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техногенного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характера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ликвидации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последствий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причинения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вреда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3.4.2.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истечение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ранее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выданного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предписания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выявленного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  <w:proofErr w:type="gramEnd"/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15" w:name="Par207"/>
      <w:bookmarkEnd w:id="15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поступление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заявлений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государственной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самоуправления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средств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массовой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следующих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фактах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16" w:name="Par208"/>
      <w:bookmarkEnd w:id="16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возникновения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угрозы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причинения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вреда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жизни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здоровью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вреда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животным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растениям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окружающей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среде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объектам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культурного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наследия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памятникам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истории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культуры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народов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безопасности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угрозы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чрезвычайных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ситуаций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природного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техногенного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характера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17" w:name="Par209"/>
      <w:bookmarkEnd w:id="17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причинения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вреда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жизни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здоровью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вреда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животным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растениям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окружающей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среде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объектам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культурного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наследия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памятникам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истории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культуры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народов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безопасности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возникновения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чрезвычайных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ситуаций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природного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техногенного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характера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потребителей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);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приказ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распоряжение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надзора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изданный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поручениями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Президента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Правительства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прокурора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рамках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надзора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поступившим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прокуратуры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материалам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обращениям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3.4.3.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Заверенная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печатью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копия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распоряжения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вручается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роспись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проводящим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гражданину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одновременно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предъявлением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служебного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удостоверения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подлежащих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целях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подтверждения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своих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полномочий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3.4.4.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просьбе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гражданина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ознакомить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подлежащих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настоящим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порядком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мероприятий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объектах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используемых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3.4.5.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позволяющие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обратившееся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обращения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заявления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содержащие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сведений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фактах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указанных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части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2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пункта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3.4.2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настоящего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административного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регламента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могут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служить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основанием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3.4.6.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Внеплановые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проводится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форме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документарной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lastRenderedPageBreak/>
        <w:t>проверки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3.4.7.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Внеплановая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выездная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может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быть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проведена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основаниям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указанным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подпунктах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б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"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части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2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пункта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3.4.2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настоящего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административного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регламента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только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после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согласования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органом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прокуратуры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месту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осуществления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таких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Порядок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согласования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органом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прокуратуры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утверждение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прокуратуры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согласования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Приказа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Генпрокуратуры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России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27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марта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2009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№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93 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реализации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Федерального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26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декабря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2008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№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294-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"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защите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надзора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".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3.4.8.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день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подписания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распоряжения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целях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согласования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представляет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либо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направляет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заказным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почтовым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отправлением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уведомлением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вручении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форме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электронного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подписанного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усиленной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квалифицированной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электронной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подписью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прокуратуры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заявление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согласовании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заявлению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согласовании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прилагаются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следующие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1)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копия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распоряжения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2)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содержат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послужившие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3.4.9.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Если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причинение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вреда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жизни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здоровью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вреда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животным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растениям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окружающей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среде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объектам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культурного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наследия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памятникам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истории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культуры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народов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безопасности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возникновение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чрезвычайных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ситуаций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природного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техногенного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характера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обнаружение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момент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совершения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связи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необходимостью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принятия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неотложных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вправе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приступить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незамедлительно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извещением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прокуратуры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мероприятий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посредством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согласовании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прокуратуры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течение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двадцати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четырех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часов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center"/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3.5.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3.5.1.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Предметом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являются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содержащиеся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устанавливающих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обязанности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используемые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связанные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предписаний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  <w:proofErr w:type="gramEnd"/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процессе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как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первую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очередь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рассматриваются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имеющиеся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распоряжении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3.5.2.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если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достоверность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содержащихся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имеющихся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распоряжении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вызывает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обоснованные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сомнения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либо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позволяют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оценить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lastRenderedPageBreak/>
        <w:t>юридическим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направляет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либо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мотивированный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запрос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требованием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необходимые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ходе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запросу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прилагается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заверенная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печатью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копия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распоряжения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3.5.3.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течение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десяти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рабочих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получения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мотивированного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запроса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запросе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3.5.4.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запросе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быть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представлены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виде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копий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заверенных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печатью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наличии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соответственно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подписью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3.5.5.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если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ходе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выявлены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ошибки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противоречия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либо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несоответствие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содержащихся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этих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содержащимся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имеющихся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необходимые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пояснения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письменной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форме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  <w:proofErr w:type="gramEnd"/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3.5.6.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представляющие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пояснения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относительно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выявленных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ошибок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противоречий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вправе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дополнительно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подтверждающие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достоверность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ранее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3.5.7.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если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после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пояснений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либо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отсутствии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пояснений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установит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признаки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вправе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3.5.8.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вправе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относящиеся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предмету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bookmarkStart w:id="18" w:name="__UnoMark__198226_37332517"/>
      <w:bookmarkEnd w:id="18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могут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быть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получены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этим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государственного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надзора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19" w:name="Par239"/>
      <w:bookmarkEnd w:id="19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3.6.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3.6.1.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Предметом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являются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содержащиеся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состояние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используемых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участков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принимаемые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  <w:proofErr w:type="gramEnd"/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если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возможным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оценить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соблюдение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соответствующих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мероприятий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3.6.2.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начинается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предъявления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служебного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удостоверения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обязательного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ознакомления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гражданина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распоряжением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назначении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полномочиями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проводящих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целями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задачами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lastRenderedPageBreak/>
        <w:t>основаниями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видами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объемом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мероприятий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условиями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  <w:proofErr w:type="gramEnd"/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3.6.3.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гражданин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предоставить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проводящему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возможность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ознакомиться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связанными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целями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задачами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предметом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если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предшествовало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документарной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обеспечить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доступ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проводящего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выездную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участвующих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экспертов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экспертных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организаций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используемый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деятельности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3.6.4.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привлекает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экспертов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экспертные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организации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состоящие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гражданско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-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трудовых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являющиеся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аффилированными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проверяемых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20" w:name="Par247"/>
      <w:bookmarkEnd w:id="20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3.7.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Порядок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оформления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результатов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3.7.1.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результатам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составляется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акт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установленной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форме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согласно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приложению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№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2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настоящему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административному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регламенту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. </w:t>
      </w:r>
      <w:proofErr w:type="gramStart"/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акту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могут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прилагаться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proofErr w:type="spellStart"/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фототаблицы</w:t>
      </w:r>
      <w:proofErr w:type="spellEnd"/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схематический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чертеж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участка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объяснения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граждан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работников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работников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возлагается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ответственность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нарушение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предписания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устранении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выявленных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иные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связанные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результатами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копии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.</w:t>
      </w:r>
      <w:proofErr w:type="gramEnd"/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3.7.2.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Акт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оформляется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непосредственно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после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ее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завершения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двух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экземплярах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один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из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копиями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приложений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вручается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руководителю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гражданину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расписку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ознакомлении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либо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отказе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ознакомлении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отказа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проверяемого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расписку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ознакомлении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либо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отказе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ознакомлении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заказным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почтовым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отправлением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уведомлением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вручении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которое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приобщается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экземпляру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хранящемуся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деле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Акт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подписывается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муниципальным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инспектором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руководителем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гражданином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присутствии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проводилась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отказа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подписания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вносится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соответствующая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запись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необходимости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дополнительного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выяснения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обстоятельств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использующих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оформления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приложений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составляется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течение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рабочих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гражданину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любым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доступным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способом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письменное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приглашение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оформления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получения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экземпляра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3.7.3.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отказа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гражданина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уполномоченных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получения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письменного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приглашения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неявки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составляется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участия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вносится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соответствующая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запись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lastRenderedPageBreak/>
        <w:t xml:space="preserve">3.7.4.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,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если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выездной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требуется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согласование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прокуратуры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копия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прокуратуры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принято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согласовании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течение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пяти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рабочих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составления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3.7.5.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журнале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учета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вести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запись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содержащая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наименовании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начала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окончания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времени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целях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задачах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предмете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выявленных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указываются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фамилия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имя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отчество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проводящего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подпись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  <w:proofErr w:type="gramEnd"/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3.7.6.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отсутствии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журнала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учета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делается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соответствующая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запись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3.7.7.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выявления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сфере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проводивший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трехдневный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срок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момента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подписания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акта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вручить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предписание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выявленных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согласно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приложению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№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3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настоящему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Предписание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составляется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двух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экземплярах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один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вручается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руководителю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гражданину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представителям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расписку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либо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почтовым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отправлением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уведомлением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вручении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исключительных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определенные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выданном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предписании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могут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быть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продлены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ходатайству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заявлению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проводилась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ходатайстве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последние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четко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конкретно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указывают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причины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позволяющие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вносят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мотивированные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предложения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продлении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принятия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подтвержденные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соответствующими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материалами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Ходатайство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заявление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продлении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предписания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быть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подано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позднее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окончания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предписания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рассматривает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ходатайство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заявление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выносит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одно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двух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удовлетворении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ходатайства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продлении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предписания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отклонении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ходатайства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оставлении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изменения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если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предписание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выявленного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результате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устранено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течение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15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внеплановая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результатам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составляется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акт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административный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протокол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статье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6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Закона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15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июля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2007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года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№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88-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"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административных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правонарушениях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территории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".</w:t>
      </w:r>
      <w:proofErr w:type="gramEnd"/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21" w:name="Par266"/>
      <w:bookmarkEnd w:id="21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4.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Порядок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формы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регламента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4.1.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Текущий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надлежащего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служебных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обязанностей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совершения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противоправных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бездействия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соблюдения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процедур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далее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текущий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первым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главы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Текущий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путем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соблюдения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положений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настоящего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нормативных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правовых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актов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Брянской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области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lastRenderedPageBreak/>
        <w:t xml:space="preserve">4.2.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мероприятий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могут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рассматриваться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все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вопросы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связанные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проведением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комплексные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отдельные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вопросы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тематические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может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проводиться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связи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конкретным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4.3.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несут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ответственность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несоблюдение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последовательности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совершения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4.4.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принятых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отношении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виновных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Российской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Федерации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положений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настоящего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инспекторов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течение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десяти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принятия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мер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сообщает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письменной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форме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гражданам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юридическому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индивидуальному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предпринимателю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интересы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both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22" w:name="Par274"/>
      <w:bookmarkEnd w:id="22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Порядок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обжалования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бездействия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)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принимаемого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решения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регламента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jc w:val="center"/>
        <w:rPr>
          <w:rFonts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5.1.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Проверяемое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вправе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обжаловать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бездействие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принятые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осуществляемые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ходе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получить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необходимые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обоснования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претензии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).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5.2.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начала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процедуры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досудебного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внесудебного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обжалования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поступление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претензии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бездействие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принятые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осуществляемые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ходе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5.3.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может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быть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направлена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письменной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форме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бумажном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носителе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почте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электронной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форме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использованием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информационно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-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телекоммуникационной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Интернет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может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быть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принята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личном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приеме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главы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5.4.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принятые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должностными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рассматриваются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первым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заместителем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главы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5.5.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содержать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наименование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исполняющего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исполняющего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либо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служащего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бездействие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обжалуются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фамилию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имя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отчество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последнее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наличии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месте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жительства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электронной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почты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наличии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почтовый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адрес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должен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быть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направлен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ответ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  <w:proofErr w:type="gramEnd"/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сведения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обжалуемых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действиях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бездействии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компетенцию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входит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поставленных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вопросов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доводы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заявитель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согласен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бездействием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либо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соответствующего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компетенцию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входит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поставленных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обращении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вопросов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Заявителем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могут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быть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представлены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наличии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подтверждающие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доводы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либо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копии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5.6.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Проверяемое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может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обратиться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числе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следующих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случаях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функции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требование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проверяемого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предусмотренных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настоящим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земельного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отказ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приеме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представление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предусмотрено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настоящим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регламентом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lastRenderedPageBreak/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отказ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исправлении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допущенных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опечаток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ошибок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выданных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результате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исполнения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функции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либо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исправлений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  <w:proofErr w:type="gramEnd"/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5.7.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приостановления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претензии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настоящем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разделе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ответ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претензию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дается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отсутствуют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5.8.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Основаниями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отказа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претензии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являются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отсутствие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обратившегося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качестве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представителя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полномочий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действовать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имени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предоставление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ранее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ответа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существу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поставленных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претензии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вопросов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наличие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принятого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результатам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(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претензии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)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судебном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порядке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bookmarkStart w:id="23" w:name="Par297"/>
      <w:bookmarkEnd w:id="23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5.9.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поступившая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подлежит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наделенным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полномочиями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течение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пятнадцати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рабочих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дней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регистрации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обжалования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отказа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должностного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лица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приеме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заявителя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либо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исправлении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допущенных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опечаток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ошибок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обжалования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нарушения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исправлений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течение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пяти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рабочих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дней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регистрации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если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сокращенные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сроки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5.10.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результатам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контроля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принимает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одно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из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следующих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: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удовлетворяет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жалобу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числе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форме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отмены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принятого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исправления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допущенных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опечаток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ошибок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выданных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результате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предоставления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муниципальной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функции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документах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возврата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заявителю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денежных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средств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взимание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которых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предусмотрено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действующим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законодательством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также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иных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формах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;</w:t>
      </w:r>
      <w:proofErr w:type="gramEnd"/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-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отказывает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удовлетворении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5.11.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позднее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следующего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за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днем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принятия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решения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указанного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>пункте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bidi="hi-IN"/>
        </w:rPr>
        <w:t xml:space="preserve"> 5.9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настоящего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регламента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,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заявителю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письменной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форме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и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желанию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заявителя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электронной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форме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направляется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мотивированный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ответ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о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kern w:val="1"/>
          <w:sz w:val="24"/>
          <w:szCs w:val="24"/>
          <w:u w:color="000000"/>
          <w:lang w:eastAsia="ru-RU" w:bidi="hi-IN"/>
        </w:rPr>
        <w:t>результатах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ind w:right="227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5.12.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случае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установления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ходе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результатам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proofErr w:type="gramStart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рассмотрения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жалобы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признаков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состава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административного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правонарушения</w:t>
      </w:r>
      <w:proofErr w:type="gramEnd"/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или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преступления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глава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Долботовской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сельской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администрации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Погарского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района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незамедлительно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направляет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имеющиеся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материалы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в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органы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 xml:space="preserve"> 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прокуратуры</w:t>
      </w:r>
      <w:r w:rsidRPr="00E71D1D">
        <w:rPr>
          <w:rFonts w:eastAsia="Times New Roman" w:hAnsi="Liberation Serif" w:cs="Times New Roman"/>
          <w:color w:val="000000"/>
          <w:kern w:val="1"/>
          <w:sz w:val="24"/>
          <w:szCs w:val="24"/>
          <w:u w:color="000000"/>
          <w:lang w:eastAsia="ru-RU" w:bidi="hi-IN"/>
        </w:rPr>
        <w:t>.</w:t>
      </w:r>
    </w:p>
    <w:p w:rsidR="00E71D1D" w:rsidRPr="00E71D1D" w:rsidRDefault="00E71D1D" w:rsidP="00E71D1D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Pr="00E71D1D" w:rsidRDefault="00E71D1D" w:rsidP="00E71D1D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</w:p>
    <w:p w:rsidR="00E71D1D" w:rsidRDefault="00E71D1D"/>
    <w:sectPr w:rsidR="00E71D1D" w:rsidSect="006A25A3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FEC"/>
    <w:multiLevelType w:val="hybridMultilevel"/>
    <w:tmpl w:val="B14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7431"/>
    <w:multiLevelType w:val="hybridMultilevel"/>
    <w:tmpl w:val="3472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3"/>
    <w:rsid w:val="000C131F"/>
    <w:rsid w:val="00194A28"/>
    <w:rsid w:val="002A71EE"/>
    <w:rsid w:val="003F343C"/>
    <w:rsid w:val="00561ADC"/>
    <w:rsid w:val="006A25A3"/>
    <w:rsid w:val="007E74B0"/>
    <w:rsid w:val="00846856"/>
    <w:rsid w:val="008666FA"/>
    <w:rsid w:val="009F1618"/>
    <w:rsid w:val="00B24E42"/>
    <w:rsid w:val="00CE6D13"/>
    <w:rsid w:val="00E71D1D"/>
    <w:rsid w:val="00F66B61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286777F7F0E297F24214F89DAAB5E5A85E3DFC789BDD0654165927FZAq4K" TargetMode="External"/><Relationship Id="rId13" Type="http://schemas.openxmlformats.org/officeDocument/2006/relationships/hyperlink" Target="consultantplus://offline/ref=FDD286777F7F0E297F24214F89DAAB5E5A85E1DACA88BDD0654165927FZAq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D286777F7F0E297F24214F89DAAB5E5A8AE0D0CC8EBDD0654165927FZAq4K" TargetMode="External"/><Relationship Id="rId12" Type="http://schemas.openxmlformats.org/officeDocument/2006/relationships/hyperlink" Target="consultantplus://offline/ref=FDD286777F7F0E297F24214F89DAAB5E5A85E3DFC789BDD0654165927FA4813AD94C153D5EZBq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D286777F7F0E297F24214F89DAAB5E5A85E3DFC789BDD0654165927FZAq4K" TargetMode="External"/><Relationship Id="rId11" Type="http://schemas.openxmlformats.org/officeDocument/2006/relationships/hyperlink" Target="consultantplus://offline/ref=FDD286777F7F0E297F24214F89DAAB5E5A85E3DFC789BDD0654165927FA4813AD94C15Z3q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D286777F7F0E297F2421598AB6F7535A89BED5CC85B2833C1E3ECF28AD8B6D9E034C7F1BBBB4766D1796ZAq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286777F7F0E297F24214F89DAAB5E5A85E7DACA85BDD0654165927FA4813AD94C153F59ZBq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7343</Words>
  <Characters>41860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 Брянской области</Company>
  <LinksUpToDate>false</LinksUpToDate>
  <CharactersWithSpaces>49105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2017-03-02T08:20:00Z</cp:lastPrinted>
  <dcterms:created xsi:type="dcterms:W3CDTF">2016-03-24T15:28:00Z</dcterms:created>
  <dcterms:modified xsi:type="dcterms:W3CDTF">2017-06-27T09:27:00Z</dcterms:modified>
</cp:coreProperties>
</file>