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3D" w:rsidRPr="00445BA0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</w:rPr>
      </w:pPr>
      <w:r w:rsidRPr="00445BA0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</w:rPr>
        <w:t>РОССИЙСКАЯ ФЕДЕРАЦИЯ</w:t>
      </w:r>
    </w:p>
    <w:p w:rsidR="002C243D" w:rsidRPr="00445BA0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</w:rPr>
      </w:pPr>
      <w:r w:rsidRPr="00445BA0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</w:rPr>
        <w:t>БРЯНСКАЯ ОБЛАСТЬ</w:t>
      </w:r>
    </w:p>
    <w:p w:rsidR="002C243D" w:rsidRPr="00445BA0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</w:rPr>
      </w:pPr>
      <w:r w:rsidRPr="00445BA0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</w:rPr>
        <w:t>ПОГАРСКИЙ РАЙОН</w:t>
      </w:r>
    </w:p>
    <w:p w:rsidR="002C243D" w:rsidRPr="00445BA0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</w:rPr>
        <w:t>КИСТЁРСКИЙ СЕЛЬСКИЙ СОВЕТ НАРОДНЫХ ДЕПУТАТОВ</w:t>
      </w:r>
    </w:p>
    <w:p w:rsidR="002C243D" w:rsidRPr="00445BA0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</w:rPr>
      </w:pPr>
    </w:p>
    <w:p w:rsidR="002C243D" w:rsidRPr="00445BA0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</w:rPr>
      </w:pPr>
      <w:r w:rsidRPr="00445BA0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</w:rPr>
        <w:t>РЕШЕНИЕ</w:t>
      </w:r>
    </w:p>
    <w:p w:rsidR="002C243D" w:rsidRPr="002C243D" w:rsidRDefault="002C243D">
      <w:pPr>
        <w:rPr>
          <w:rFonts w:ascii="Times New Roman" w:hAnsi="Times New Roman" w:cs="Times New Roman"/>
        </w:rPr>
      </w:pPr>
    </w:p>
    <w:p w:rsidR="002C243D" w:rsidRDefault="002C243D"/>
    <w:p w:rsidR="002C243D" w:rsidRDefault="002C243D"/>
    <w:p w:rsidR="002C243D" w:rsidRPr="00445BA0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</w:pPr>
    </w:p>
    <w:p w:rsidR="002C243D" w:rsidRPr="00445BA0" w:rsidRDefault="002C243D" w:rsidP="002C243D">
      <w:pPr>
        <w:suppressAutoHyphens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от 08.10</w:t>
      </w:r>
      <w:r w:rsidRPr="00445BA0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.2009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г.  №  1-184</w:t>
      </w:r>
    </w:p>
    <w:p w:rsidR="002C243D" w:rsidRPr="00445BA0" w:rsidRDefault="002C243D" w:rsidP="002C243D">
      <w:pPr>
        <w:suppressAutoHyphens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с. </w:t>
      </w:r>
      <w:proofErr w:type="spellStart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</w:t>
      </w:r>
      <w:proofErr w:type="spellEnd"/>
    </w:p>
    <w:p w:rsidR="002C243D" w:rsidRPr="00445BA0" w:rsidRDefault="002C243D" w:rsidP="002C243D">
      <w:pPr>
        <w:suppressAutoHyphens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445BA0" w:rsidRDefault="002C243D" w:rsidP="002C243D">
      <w:pPr>
        <w:suppressAutoHyphens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Об утверждении местных </w:t>
      </w:r>
      <w:r w:rsidRPr="00445BA0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нормативов</w:t>
      </w:r>
    </w:p>
    <w:p w:rsidR="002C243D" w:rsidRPr="00445BA0" w:rsidRDefault="002C243D" w:rsidP="002C243D">
      <w:pPr>
        <w:suppressAutoHyphens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445BA0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градостроительного проектирования</w:t>
      </w:r>
    </w:p>
    <w:p w:rsidR="002C243D" w:rsidRDefault="002C243D" w:rsidP="002C243D">
      <w:pPr>
        <w:suppressAutoHyphens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445BA0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сельского</w:t>
      </w:r>
      <w:proofErr w:type="gramEnd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</w:p>
    <w:p w:rsidR="002C243D" w:rsidRDefault="002C243D" w:rsidP="002C243D">
      <w:pPr>
        <w:suppressAutoHyphens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поселения</w:t>
      </w:r>
    </w:p>
    <w:p w:rsidR="002C243D" w:rsidRDefault="002C243D" w:rsidP="002C243D">
      <w:pPr>
        <w:suppressAutoHyphens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ab/>
        <w:t xml:space="preserve">Заслушав и обсудив местные нормативы градостроительного проектирования на территории </w:t>
      </w:r>
      <w:proofErr w:type="spellStart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Кистёрский</w:t>
      </w:r>
      <w:proofErr w:type="spellEnd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сельский Совет народных депутатов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</w:rPr>
      </w:pPr>
      <w:r w:rsidRPr="002C243D">
        <w:rPr>
          <w:rFonts w:ascii="Times New Roman" w:eastAsia="Andale Sans UI" w:hAnsi="Times New Roman" w:cs="Times New Roman"/>
          <w:bCs/>
          <w:color w:val="auto"/>
          <w:kern w:val="1"/>
          <w:sz w:val="28"/>
          <w:szCs w:val="28"/>
        </w:rPr>
        <w:t>РЕШИЛ:</w:t>
      </w:r>
    </w:p>
    <w:p w:rsidR="002C243D" w:rsidRPr="00445BA0" w:rsidRDefault="002C243D" w:rsidP="002C243D">
      <w:pPr>
        <w:suppressAutoHyphens/>
        <w:jc w:val="both"/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1.</w:t>
      </w:r>
      <w:r w:rsidRPr="002C243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Утвердить местные нормативы градостроительного проектирования на территории </w:t>
      </w:r>
      <w:proofErr w:type="spellStart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согласно приложения</w:t>
      </w:r>
      <w:proofErr w:type="gramEnd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1.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Глава </w:t>
      </w:r>
      <w:proofErr w:type="spellStart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</w:p>
    <w:p w:rsidR="002C243D" w:rsidRDefault="00151CE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с</w:t>
      </w:r>
      <w:bookmarkStart w:id="0" w:name="_GoBack"/>
      <w:bookmarkEnd w:id="0"/>
      <w:r w:rsidR="002C243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ельского поселения                                              Г.Д. </w:t>
      </w:r>
      <w:proofErr w:type="spellStart"/>
      <w:r w:rsidR="002C243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Подгородский</w:t>
      </w:r>
      <w:proofErr w:type="spellEnd"/>
    </w:p>
    <w:p w:rsidR="002C243D" w:rsidRDefault="002C243D" w:rsidP="002C243D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2C243D" w:rsidRDefault="002C243D" w:rsidP="002C243D">
      <w:pPr>
        <w:suppressAutoHyphens/>
        <w:ind w:firstLine="708"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2C243D" w:rsidRDefault="002C243D" w:rsidP="002C243D">
      <w:pPr>
        <w:jc w:val="right"/>
        <w:rPr>
          <w:rFonts w:ascii="Times New Roman" w:hAnsi="Times New Roman" w:cs="Times New Roman"/>
          <w:b/>
        </w:rPr>
      </w:pPr>
      <w:r w:rsidRPr="002C243D">
        <w:rPr>
          <w:rFonts w:ascii="Times New Roman" w:hAnsi="Times New Roman" w:cs="Times New Roman"/>
          <w:b/>
        </w:rPr>
        <w:lastRenderedPageBreak/>
        <w:t>Приложение 1</w:t>
      </w:r>
    </w:p>
    <w:p w:rsidR="002C243D" w:rsidRPr="002C243D" w:rsidRDefault="002C243D" w:rsidP="002C243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</w:p>
    <w:p w:rsidR="002C243D" w:rsidRPr="002C243D" w:rsidRDefault="002C243D" w:rsidP="002C243D">
      <w:pPr>
        <w:jc w:val="right"/>
        <w:rPr>
          <w:rFonts w:ascii="Times New Roman" w:hAnsi="Times New Roman" w:cs="Times New Roman"/>
          <w:b/>
        </w:rPr>
      </w:pPr>
      <w:r w:rsidRPr="002C243D">
        <w:rPr>
          <w:rFonts w:ascii="Times New Roman" w:hAnsi="Times New Roman" w:cs="Times New Roman"/>
          <w:b/>
        </w:rPr>
        <w:t xml:space="preserve">к решению </w:t>
      </w:r>
      <w:proofErr w:type="spellStart"/>
      <w:r w:rsidRPr="002C243D">
        <w:rPr>
          <w:rFonts w:ascii="Times New Roman" w:hAnsi="Times New Roman" w:cs="Times New Roman"/>
          <w:b/>
        </w:rPr>
        <w:t>Кистёрского</w:t>
      </w:r>
      <w:proofErr w:type="spellEnd"/>
      <w:r w:rsidRPr="002C243D">
        <w:rPr>
          <w:rFonts w:ascii="Times New Roman" w:hAnsi="Times New Roman" w:cs="Times New Roman"/>
          <w:b/>
        </w:rPr>
        <w:t xml:space="preserve"> </w:t>
      </w:r>
      <w:proofErr w:type="gramStart"/>
      <w:r w:rsidRPr="002C243D">
        <w:rPr>
          <w:rFonts w:ascii="Times New Roman" w:hAnsi="Times New Roman" w:cs="Times New Roman"/>
          <w:b/>
        </w:rPr>
        <w:t>сельского</w:t>
      </w:r>
      <w:proofErr w:type="gramEnd"/>
    </w:p>
    <w:p w:rsidR="002C243D" w:rsidRPr="002C243D" w:rsidRDefault="002C243D" w:rsidP="002C243D">
      <w:pPr>
        <w:jc w:val="right"/>
        <w:rPr>
          <w:rFonts w:ascii="Times New Roman" w:hAnsi="Times New Roman" w:cs="Times New Roman"/>
          <w:b/>
        </w:rPr>
      </w:pPr>
      <w:r w:rsidRPr="002C243D">
        <w:rPr>
          <w:rFonts w:ascii="Times New Roman" w:hAnsi="Times New Roman" w:cs="Times New Roman"/>
          <w:b/>
        </w:rPr>
        <w:t>Совета народных депутатов</w:t>
      </w:r>
    </w:p>
    <w:p w:rsidR="002C243D" w:rsidRPr="002C243D" w:rsidRDefault="002C243D" w:rsidP="002C243D">
      <w:pPr>
        <w:jc w:val="right"/>
        <w:rPr>
          <w:rFonts w:ascii="Times New Roman" w:hAnsi="Times New Roman" w:cs="Times New Roman"/>
          <w:b/>
        </w:rPr>
      </w:pPr>
      <w:r w:rsidRPr="002C243D">
        <w:rPr>
          <w:rFonts w:ascii="Times New Roman" w:hAnsi="Times New Roman" w:cs="Times New Roman"/>
          <w:b/>
        </w:rPr>
        <w:t>от 08.10.2009 года № 1-184</w:t>
      </w:r>
    </w:p>
    <w:p w:rsidR="002C243D" w:rsidRDefault="002C243D"/>
    <w:p w:rsidR="002C243D" w:rsidRDefault="002C243D"/>
    <w:p w:rsidR="002C243D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</w:pPr>
      <w:r w:rsidRPr="00BD429F"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Местные нормативы градостроительного проектирования на территории </w:t>
      </w:r>
      <w:proofErr w:type="spellStart"/>
      <w: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>Кистёрского</w:t>
      </w:r>
      <w:proofErr w:type="spellEnd"/>
      <w: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 xml:space="preserve"> сельского поселения</w:t>
      </w:r>
    </w:p>
    <w:p w:rsidR="002C243D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  <w:t>1.Общие положения</w:t>
      </w:r>
    </w:p>
    <w:p w:rsidR="002C243D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1.1. Местные нормативы градостроительного проектирования на территории </w:t>
      </w:r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муниципального образования </w:t>
      </w:r>
      <w:proofErr w:type="spellStart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Кистёрское</w:t>
      </w:r>
      <w:proofErr w:type="spellEnd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поселение (далее - местные нормативы)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разработаны в соответстви</w:t>
      </w:r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и с Градостроительным кодексом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Российской Федерации, Правилами землепользования и застройки</w:t>
      </w:r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  <w:proofErr w:type="spellStart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поселения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, утвержденными </w:t>
      </w:r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решением </w:t>
      </w:r>
      <w:proofErr w:type="spellStart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Совета народных депутатов от 08.10.2009 года № 1-184, </w:t>
      </w:r>
      <w:r w:rsidRPr="00BD429F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СНиП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2.07.01-89 «Градостроительство. Планировка и застройка городских и сельских поселений», с учётом территориальных, природных, исторических, социально-экономических и иных условий градостроитель</w:t>
      </w:r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ной деятельности на территории </w:t>
      </w:r>
      <w:proofErr w:type="spellStart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поселения.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1.2. Местные нормативы распространяются на новые и реконструируемые жилые территориальные зоны, включая объекты жилого, общественного и административного назначения, территории обслуживающих их сетей и объектов социальной и инженерной инфраструктуры.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1.3. Местные нормативы применяются</w:t>
      </w:r>
      <w:r w:rsidRPr="00E1093F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:</w:t>
      </w:r>
    </w:p>
    <w:p w:rsidR="002C243D" w:rsidRP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6F5B5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при подготовке документов территориального планирования, проведении государственной экспертизы, согласовании и утверждении проектов документов территориального планирования</w:t>
      </w:r>
      <w:r w:rsidRPr="006F5B5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;</w:t>
      </w:r>
    </w:p>
    <w:p w:rsidR="002C243D" w:rsidRP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при подготовке проектной документации, проведении государственной экспертизы проектной документации, рассмотрении проектной документации.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1.4. В состав местных нормативов входят требования, которые применяются при проектировании, строительстве, проведении капитального ремонта и реконструкции.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1.5. Местные нормативы содержат минимальные расчётные показатели обеспечения благоприятных условий жизнедеятельности человека</w:t>
      </w:r>
      <w:r w:rsidRPr="006F5B5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:</w:t>
      </w:r>
    </w:p>
    <w:p w:rsidR="002C243D" w:rsidRP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по организации в составе жилых территорий общественных пространств, предназначенных для объектов обслуживания, мест хранения и парковки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lastRenderedPageBreak/>
        <w:t>индивидуального автомобильного транспорта, выделения площадей для озеленения, рекреации</w:t>
      </w:r>
      <w:r w:rsidRPr="006F5B5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; </w:t>
      </w:r>
    </w:p>
    <w:p w:rsidR="002C243D" w:rsidRP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по обеспечению населения и жилых территорий социально значимыми объектами обслуживания</w:t>
      </w:r>
      <w:r w:rsidRPr="006F5B5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;</w:t>
      </w:r>
    </w:p>
    <w:p w:rsidR="002C243D" w:rsidRP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по обеспечению пешеходной и транспортной доступности объектов и комплексов социальной инфраструктуры, рекреаций, остановок и узлов общественного транспорта, объектов для хранения и парковки индивидуального автомобильного транспорта</w:t>
      </w:r>
      <w:r w:rsidRPr="006F5B5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;</w:t>
      </w:r>
    </w:p>
    <w:p w:rsidR="002C243D" w:rsidRP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по инженерной подготовке территории</w:t>
      </w:r>
      <w:r w:rsidRPr="00E1093F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;</w:t>
      </w:r>
    </w:p>
    <w:p w:rsidR="002C243D" w:rsidRP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по комплексному благоустройству территории и оснащению территории элементами благоустройства.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1.6.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Местные нормативы обязательны для соблюдения органами государственной власти, органами местного самоуправления, гражданами и юридическими лицами, осуществляющими градостроительную деятельность на территории</w:t>
      </w:r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  <w:proofErr w:type="spellStart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поселения.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1.7. </w:t>
      </w:r>
      <w:proofErr w:type="gramStart"/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Контроль за</w:t>
      </w:r>
      <w:proofErr w:type="gramEnd"/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соблюдением местных нормативов осуществляется в следующих случаях:</w:t>
      </w:r>
    </w:p>
    <w:p w:rsidR="002C243D" w:rsidRP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- при выдаче разрешений на строительство;</w:t>
      </w:r>
    </w:p>
    <w:p w:rsidR="002C243D" w:rsidRP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- при осуществлении строительства, капитального ремонта и реконструкции объектов градостроительной деятельности и благоустройства территории;</w:t>
      </w:r>
    </w:p>
    <w:p w:rsidR="002C243D" w:rsidRP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8"/>
          <w:szCs w:val="1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- при проведении государственной экспертизы документов территориального планирования, проектной документации.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1.8. Проверк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у соблюдения местных нормативов осуществляет </w:t>
      </w:r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администрация </w:t>
      </w:r>
      <w:proofErr w:type="spellStart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</w:t>
      </w:r>
      <w:proofErr w:type="spellStart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поселния</w:t>
      </w:r>
      <w:proofErr w:type="spellEnd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в 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пределах своей компетенции.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1.9. Проектная документация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, выполненная с нарушением местных нормативов, не подлежит утверждению.</w:t>
      </w:r>
    </w:p>
    <w:p w:rsidR="002C243D" w:rsidRPr="006F5B5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  <w:t>2. Планировка и застройка жилых территориальных зон</w:t>
      </w:r>
    </w:p>
    <w:p w:rsidR="002C243D" w:rsidRPr="0093042D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2.1. Существующие и планируемые границы жилых территориальных зон, элементов планировочной структуры, параметры их планируемого развития, градостроительные регламенты определяются Генеральным планом</w:t>
      </w:r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  <w:proofErr w:type="spellStart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поселения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, Правилами Землепользования и застройки </w:t>
      </w:r>
      <w:proofErr w:type="spellStart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го</w:t>
      </w:r>
      <w:proofErr w:type="spellEnd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поселения.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2.2. Красные линии и линии регулирования застройки жилых территорий определяются проектами планировки с учетом особенностей использования 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lastRenderedPageBreak/>
        <w:t>земельных участков и объектов капитального строительства. В существующей застройке проект красных линий может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быть разработан администрацией </w:t>
      </w:r>
      <w:proofErr w:type="spellStart"/>
      <w:r w:rsidR="00250406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поселения.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2.3. Состав функциональных элементов земельных участков, подлежащих жилой застройке, включает в себя: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жилые дома (или их комплексы);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проезды и пешеходные дороги, ведущие к жилым домам;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открытые площадки для временного хранения автомобилей;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придомовые зеленые насаждения, площадки для отдыха и игр детей;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площадки для отдыха взрослых;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50406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спортивные площадки;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хозяйственные площадки.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2.4. Минимальные расчетные размеры функциональных элементов жилых территорий устанавливаются согласно СНиП. Показатели применяются к зонам застройки многоэтажными, средне- и малоэтажными жилыми домами и не применяются к зонам застройки индивидуальными (в том числе блокированными) жилыми домами.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2.5. Минимально допустимое расстояние от окон жилых и общественных зданий до площадок следует принимать:</w:t>
      </w: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для игр детей дошкольного и младшего школьного возраста — 12 м;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для отдыха взрослого населения — 10 м;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для занятий спортом и физической культурой — от 10 м до 40 м;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для хозяйственных целей — 12 м;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для стоянки автомашин — от 10 м до 50.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2.6. Расстояние от хозяйственных площадок до наиболее удаленного входа в жилое здание должно составлять не более 100 м (для домов с </w:t>
      </w:r>
      <w:proofErr w:type="spellStart"/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мусопроводами</w:t>
      </w:r>
      <w:proofErr w:type="spellEnd"/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) и 50 м (для домов без мусоропроводов).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2.7. В случае размещения жилого многоквартирного дома в составе территории микрорайона (квартала) со сложившейся застройкой, расчетные показатели по площадкам, указанным в п. 2.5, следует принимать исходя из параметров жилого дома в соответствии с требованиями СНиП и настоящими местными нормативами.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lastRenderedPageBreak/>
        <w:t>2.8. Расстояния между жилыми зданиями, жилыми и общественными зданиями следует принимать на основе расчетов инсоляции и освещенности в соответствии с требованиями СНиП.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2.9. Жилые здания с квартирами в первых этажах следует располагать с отступом от красных линий на магистральных улицах не менее 6 м, на прочих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- не менее 3 м.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2.10.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Одно-, двухквартирные жилые дома должны быть удалены </w:t>
      </w:r>
      <w:proofErr w:type="gramStart"/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от</w:t>
      </w:r>
      <w:proofErr w:type="gramEnd"/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:</w:t>
      </w: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красной линии улиц -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не менее чем на 5 м;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красной линии проездов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-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не менее чем на 3 м;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2.11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. Отдельно стоящие, встроенные хозяйственные постройки должны быть удалены от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красных линий улиц и проездов -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не менее чем на 5 м.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2.12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. Границы соседних </w:t>
      </w:r>
      <w:proofErr w:type="spellStart"/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приквартирных</w:t>
      </w:r>
      <w:proofErr w:type="spellEnd"/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земельных участков должны быть удалены </w:t>
      </w:r>
      <w:proofErr w:type="gramStart"/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от</w:t>
      </w:r>
      <w:proofErr w:type="gramEnd"/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:</w:t>
      </w: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одно-, двухквартирн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ых и блокированных жилых домов -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не менее чем на 3 м;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хозяйственны построек (бани, гараж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а и др.) - не менее чем на 1 м</w:t>
      </w:r>
      <w:r w:rsidRPr="00FB4AF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;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хозяйственных построе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 для содержания скота и птицы -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не менее чем на 4 м;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от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стволов высокорослых деревьев -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не менее чем на 4 м;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от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стволов среднерослых деревьев -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не менее чем на 2 м;</w:t>
      </w:r>
    </w:p>
    <w:p w:rsidR="00250406" w:rsidRPr="00250406" w:rsidRDefault="00250406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от стволов кустарников -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не менее чем на 1 м.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2.13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. Расстояние от окон жилых комнат одно-, двухквартирных жилых домов до стен соседнего одно-, двухквартирного жилого дома и хозяйственных построек (бани, гаража и др.), расположенных на соседних земельных участках, должно быть не менее 6 м.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FB4AF4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2.14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. Ограждения земельных участков должны быть:</w:t>
      </w: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со стороны улицы: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прозрачными, 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единообразными (по меньшей мере, на протяжении одного жилого квартала с обеих сторон улицы), высотой не более 1,5 м;</w:t>
      </w:r>
    </w:p>
    <w:p w:rsidR="002C243D" w:rsidRPr="00FB4AF4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со стороны соседних земельны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х участков, высотой не более 1,5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м с глухой частью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не более 1,2 м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2.15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. </w:t>
      </w:r>
      <w:proofErr w:type="gramStart"/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Разработка проектов  планировки новых и реконструируемых районов осуществляется в соответствии со СНиП, определяющими требования к созданию среды  жизнедеятельности, доступной для групп населения с ограниченными физическими возможностями.</w:t>
      </w:r>
      <w:proofErr w:type="gramEnd"/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lastRenderedPageBreak/>
        <w:t>2.16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. Реконструкция жилой застройки осуществляется:</w:t>
      </w:r>
    </w:p>
    <w:p w:rsidR="00F43A34" w:rsidRPr="00F43A34" w:rsidRDefault="00F43A34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комплексно, без нарушения своеобразия сложившейся среды;</w:t>
      </w:r>
    </w:p>
    <w:p w:rsidR="00F43A34" w:rsidRPr="00F43A34" w:rsidRDefault="00F43A34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с сохранением и развитием жилой функции;</w:t>
      </w:r>
    </w:p>
    <w:p w:rsidR="00F43A34" w:rsidRPr="00F43A34" w:rsidRDefault="00F43A34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F43A34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модернизацией существующих капитальных жилых и общественных здан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ий, </w:t>
      </w: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благоустройства территории, 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объектов и сооружений, инженерной и транспортной инфраструктуры;</w:t>
      </w:r>
    </w:p>
    <w:p w:rsidR="002C243D" w:rsidRPr="00F43A34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с соблюдением санитарно-гигиенических требований, норм пожарной безопасности, норм обеспеченности учреждениями и предприятиями обслуживания и настоящих местных нормативов.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2.1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7</w:t>
      </w: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. Расчетная плотность населения жилого района и микрорайона определяется в соответствии со СНиП.</w:t>
      </w:r>
    </w:p>
    <w:p w:rsidR="00F43A34" w:rsidRDefault="00F43A34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93042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93042D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В условиях реконструкции жилой застройки допускается превышение плотности вышеуказанных показателей населения микрорайона не более чем на 10 %.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F43A34" w:rsidRPr="00F43A34" w:rsidRDefault="00F43A34" w:rsidP="00F43A34">
      <w:pPr>
        <w:suppressAutoHyphens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  <w:lang w:eastAsia="en-US"/>
        </w:rPr>
      </w:pPr>
      <w:r w:rsidRPr="00F43A34"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  <w:lang w:eastAsia="en-US"/>
        </w:rPr>
        <w:t>3. Организация хранения индивидуального транспорта</w:t>
      </w:r>
    </w:p>
    <w:p w:rsidR="00F43A34" w:rsidRPr="00F43A34" w:rsidRDefault="00F43A34" w:rsidP="00F43A34">
      <w:pPr>
        <w:suppressAutoHyphens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  <w:lang w:eastAsia="en-US"/>
        </w:rPr>
      </w:pPr>
    </w:p>
    <w:p w:rsidR="00F43A34" w:rsidRPr="00F43A34" w:rsidRDefault="00F43A34" w:rsidP="00F43A34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</w:pPr>
      <w:r w:rsidRP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  <w:t>3.1. Система стоянок и гаражей для хранения индивидуального транспорта должна обеспечивать размещение планируемого количества автотранспорта при расчетной автомобилизации до 200 машин на 1000 жителей.</w:t>
      </w:r>
    </w:p>
    <w:p w:rsidR="00F43A34" w:rsidRPr="00F43A34" w:rsidRDefault="00F43A34" w:rsidP="00F43A34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</w:pPr>
    </w:p>
    <w:p w:rsidR="00F43A34" w:rsidRPr="00F43A34" w:rsidRDefault="00F43A34" w:rsidP="00F43A34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</w:pPr>
      <w:r w:rsidRP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  <w:t xml:space="preserve">3.2. Размеры территории для хранения индивидуального транспорта в микрорайоне (квартале) и жилом районе, у общественных зданий, учреждений и предприятий обслуживания должны соответствовать </w:t>
      </w:r>
      <w:proofErr w:type="gramStart"/>
      <w:r w:rsidRP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  <w:t>действующим</w:t>
      </w:r>
      <w:proofErr w:type="gramEnd"/>
      <w:r w:rsidRP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  <w:t xml:space="preserve"> СНиП.</w:t>
      </w:r>
    </w:p>
    <w:p w:rsidR="00F43A34" w:rsidRPr="00F43A34" w:rsidRDefault="00F43A34" w:rsidP="00F43A34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</w:pPr>
    </w:p>
    <w:p w:rsidR="00F43A34" w:rsidRPr="00F43A34" w:rsidRDefault="00F43A34" w:rsidP="00F43A34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</w:pPr>
      <w:r w:rsidRP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en-US"/>
        </w:rPr>
        <w:t>3.3. При отсутствии необходимой территории для организации открытых парковок должны быть предусмотрены встроенные или пристроенные (в том числе подземные) автостоянки.</w:t>
      </w: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  <w:t>4. Размещение учреждений и предприятий обслуживания</w:t>
      </w:r>
    </w:p>
    <w:p w:rsidR="002C243D" w:rsidRPr="00E63A3B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4.1. В целях создания единой градостроительной системы обслуживания учреждения и предприятия обслуживания всех видов и форм собственности следует размещать в соответствии с Генеральным планом</w:t>
      </w:r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  <w:proofErr w:type="spellStart"/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поселения</w:t>
      </w: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, Правилами землепользования и застройки</w:t>
      </w:r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  <w:proofErr w:type="spellStart"/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поселения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, </w:t>
      </w: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документацией по планировке и межеванию территории и с учетом планировочной структуры жилой территории.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4.2. Учреждения обслуживания на территориях жилых микрорайонов и </w:t>
      </w: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lastRenderedPageBreak/>
        <w:t>кварталов необходимо размещать с учетом пешеходной доступности (радиусов обслуживания), установленной СНиП.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Специализированные жилые здания с квартирами для инвалидов на креслах-колясках должны быть расположены в радиусе обслуживания предприятиями торговли товарами повседневного спроса и комплексными приемными пунктами предприятий бытового обслуживания не более 300 м.</w:t>
      </w:r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Учреждения целесообразно размещать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в многофункциональной застройке</w:t>
      </w: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общественно-деловых зон. Расчет площади земельных участков для учреждений производится в соответствии со СНиП.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4.3. При расчете количества и вместимости учреждений и предприятий обслуживания следует исходить из необходимости 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не менее установленных СНиП.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Размещение и вместимость учреждений и предприятий обслуживания, размеры их земельных участков, не указанные в СНиП, устанавливаются заданием на проектирование.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4.4. </w:t>
      </w:r>
      <w:proofErr w:type="gramStart"/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Дошкольные образовательные и общеобразовательные учреждения, размещаемые в отдельных зданиях, должны быть расположены на участках с отступом зданий от красных линий микрорайона (квартала) не менее чем на 25 м, в реконструируемых кварталах — не менее чем на 15 м. Дошкольные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образовательные учреждения проектируются из расчёта 60 мест на 1000 человек, </w:t>
      </w: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образовательные учреждения — 90 мест на 1000 человек.</w:t>
      </w:r>
      <w:proofErr w:type="gramEnd"/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4.5. Допускается размещение пристроенных дошкольных образовательных учреждений вместимостью не более 6 групп, общеобразовательных учреждений вместимостью до 100 человек для учащихся начальных классов при обеспечении нормативных показателей освещенности, инсоляции, площади и кубатуры помещений, выделения изолированного земельного участка, а также организации самостоятельного пищеблока, отдельной системы вентиляции. Для общеобразовательных учреждений размеры земельного участка устанавливают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ся не менее 18 м</w:t>
      </w:r>
      <w:proofErr w:type="gramStart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vertAlign w:val="superscript"/>
        </w:rPr>
        <w:t>2</w:t>
      </w:r>
      <w:proofErr w:type="gramEnd"/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(с учетом площади застройки) на одного учащегося. Площадки для игр детей, площадки спортивного назначения размещаются от окон жилых зданий на расстоянии не менее 25 м на основании соответствующих расчетов по шуму и инсоляции.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4.6. Радиусы обслуживания дошкольных образовательных и общеобразовательных учреждений не распространяются на специализированные и оздоровительные детские учреждения и на специализированные общеобразовательные учреждения.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Специализированные детские учреждения и школы-интернаты для детей-инвалидов размещаются в соответствии с СанПиН.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4.7. Пути подхода детей к дошкольным образовательным и общеобразовательным учреждениям не должны  пересекать проезжую часть магистральных улиц и проездов.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4.8. У входов в здания, предназначенные для проведения спортивно-зрелищных мероприятий, должны быть предусмотрены отк</w:t>
      </w:r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рытые площадки из расчета 0,3 м</w:t>
      </w:r>
      <w:proofErr w:type="gramStart"/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vertAlign w:val="superscript"/>
        </w:rPr>
        <w:t>2</w:t>
      </w:r>
      <w:proofErr w:type="gramEnd"/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на 1 зрителя, приходящегося на данный вход.</w:t>
      </w: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  <w:t>5. Зеленые насаждения</w:t>
      </w:r>
    </w:p>
    <w:p w:rsidR="002C243D" w:rsidRPr="00E63A3B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5.1. При проектировании новой или реконструкции существующей застройки участки природного комплекса с преобладанием растительности и (или) водных объектов в жилых территориальных зонах, выполняющие защитные 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природоохранные, </w:t>
      </w: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рекреационные, оздоровительные и </w:t>
      </w:r>
      <w:proofErr w:type="spellStart"/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ландшафтообразующие</w:t>
      </w:r>
      <w:proofErr w:type="spellEnd"/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функции, должны быть сохранены. В целях  обеспечения нормативного озеленения жилых территорий необходимо предусматривать формирование парков, садов, скверов, бульваров, 70 % территории которых должно быть занято зелеными насаждениями.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5.2. Проектирование новой застройки и реконструкция существующей осуществляется с учетом оценки современного состояния и максимального сохранения  существующего растительного покрова (зеленых насаждений, газонов). </w:t>
      </w:r>
      <w:proofErr w:type="gramStart"/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Объемы, характер и место проведения работ по компенсационному озеленения определяются в каждом конкретном случае по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согласованию с администрацией </w:t>
      </w:r>
      <w:proofErr w:type="spellStart"/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поселения.</w:t>
      </w:r>
      <w:proofErr w:type="gramEnd"/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5.3. Нормируемые удельные размеры озелененной территории жилого микрорайона (квартала), жилого района, нормы посадки деревьев и кустарников по различным категориям озеленяемых территорий определяются в соответствии с СНиП.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Уровень озеленения участков дошкольных, общеобразовательных и лечебных учреждений устанавливается из расчета озеленения не менее 30 % от общей площади земельного участка.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5.4. Выбор пород деревьев и расстояния от зеленых насаждений до объектов строительства (реконструкции) принимается в соответствии со СНиП при соблюдении следующих требований:</w:t>
      </w:r>
    </w:p>
    <w:p w:rsidR="002C243D" w:rsidRPr="00F43A34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обеспечение беспрепятственного подъезда к домам и работы пожарной техники;</w:t>
      </w: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lastRenderedPageBreak/>
        <w:t>размещение в охранной зоне теплосети, газопровода, канализации, водопровода и дренажа (при глубине заложения сети не менее чем 0,7 м) посадок кустарников с неглубокой корневой системой;</w:t>
      </w:r>
    </w:p>
    <w:p w:rsidR="002C243D" w:rsidRPr="00F43A34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соблюдение расстояний от воздушных линий электропередачи до посадки деревьев в соответствии с действующими Правилами устройства электроустановок;</w:t>
      </w:r>
    </w:p>
    <w:p w:rsidR="002C243D" w:rsidRPr="00F43A34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16"/>
          <w:szCs w:val="16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исключение посадки деревьев и ценных пород кустарников в технических зонах прокладки инженерных сетей.</w:t>
      </w: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  <w:t>6. Инженерное обеспечение</w:t>
      </w:r>
    </w:p>
    <w:p w:rsidR="002C243D" w:rsidRPr="00E63A3B" w:rsidRDefault="002C243D" w:rsidP="002C243D">
      <w:pPr>
        <w:suppressAutoHyphens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6.1. Новые районы обеспечиваются инженерными системами водоснабжения, водоотведения, теплоснабжения, электроснабжения, газоснабжения, связи, диспетчеризации и санитарной очистки, разрабатываемыми на основе Генерального плана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</w:t>
      </w:r>
      <w:proofErr w:type="spellStart"/>
      <w:r w:rsidR="00F43A34" w:rsidRP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 w:rsidR="00F43A34" w:rsidRP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поселения</w:t>
      </w: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, программы комплексного развития си</w:t>
      </w:r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стем коммунальной инфраструктуры </w:t>
      </w:r>
      <w:proofErr w:type="spellStart"/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Кистёрского</w:t>
      </w:r>
      <w:proofErr w:type="spellEnd"/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сельского поселения</w:t>
      </w: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, инвестиционных программ организаций коммунального комплекса.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6.2. Инженерные системы рассчитываются исходя из соответствующих нормативов, численности населения и расчетной общей площади жилой застройки, учитывая перспективу развития застраиваемой территории.</w:t>
      </w:r>
    </w:p>
    <w:p w:rsidR="002C243D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6.3. Прокладка инженерных сетей, обслуживающих</w:t>
      </w:r>
      <w:r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 район</w:t>
      </w: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, производится в инженерно-транспортных коридорах улиц </w:t>
      </w:r>
      <w:r w:rsidR="00F43A34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 xml:space="preserve">и </w:t>
      </w:r>
      <w:r w:rsidRPr="00E63A3B"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  <w:t>проездов. Прохождение этих сетей через кварталы допускается в специально выделенных зонах только в случаях технической невозможности прокладки в технических зонах улиц и проездов. Габариты технических зон устанавливаются в зависимости от конкретных видов инженерных сетей.</w:t>
      </w:r>
    </w:p>
    <w:p w:rsidR="002C243D" w:rsidRPr="00E63A3B" w:rsidRDefault="002C243D" w:rsidP="002C243D">
      <w:pPr>
        <w:suppressAutoHyphens/>
        <w:jc w:val="both"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Pr="00BD429F" w:rsidRDefault="002C243D" w:rsidP="002C243D">
      <w:pPr>
        <w:suppressAutoHyphens/>
        <w:rPr>
          <w:rFonts w:ascii="Times New Roman" w:eastAsia="Andale Sans UI" w:hAnsi="Times New Roman" w:cs="Times New Roman"/>
          <w:color w:val="auto"/>
          <w:kern w:val="1"/>
          <w:sz w:val="28"/>
          <w:szCs w:val="28"/>
        </w:rPr>
      </w:pPr>
    </w:p>
    <w:p w:rsidR="002C243D" w:rsidRDefault="002C243D"/>
    <w:p w:rsidR="002C243D" w:rsidRDefault="002C243D"/>
    <w:p w:rsidR="002C243D" w:rsidRDefault="002C243D"/>
    <w:sectPr w:rsidR="002C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1947"/>
    <w:multiLevelType w:val="multilevel"/>
    <w:tmpl w:val="976EF42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2"/>
    <w:rsid w:val="00151CED"/>
    <w:rsid w:val="00250406"/>
    <w:rsid w:val="002C243D"/>
    <w:rsid w:val="003A0883"/>
    <w:rsid w:val="00DC69FF"/>
    <w:rsid w:val="00DE5762"/>
    <w:rsid w:val="00F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4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4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2018-08-26T11:50:00Z</dcterms:created>
  <dcterms:modified xsi:type="dcterms:W3CDTF">2018-08-26T12:24:00Z</dcterms:modified>
</cp:coreProperties>
</file>